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FD4" w:rsidRPr="00E060C7" w:rsidRDefault="000A0FD4" w:rsidP="000A0FD4">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26 من </w:t>
      </w:r>
      <w:r w:rsidRPr="00E060C7">
        <w:rPr>
          <w:rFonts w:asciiTheme="majorBidi" w:hAnsiTheme="majorBidi" w:cstheme="majorBidi"/>
          <w:b/>
          <w:bCs/>
          <w:sz w:val="32"/>
          <w:szCs w:val="32"/>
          <w:rtl/>
        </w:rPr>
        <w:t>نوفمبر</w:t>
      </w:r>
      <w:r w:rsidRPr="00E060C7">
        <w:rPr>
          <w:rFonts w:asciiTheme="majorBidi" w:hAnsiTheme="majorBidi" w:cstheme="majorBidi"/>
          <w:b/>
          <w:bCs/>
          <w:sz w:val="32"/>
          <w:szCs w:val="32"/>
          <w:rtl/>
          <w:lang w:bidi="ar-BH"/>
        </w:rPr>
        <w:t xml:space="preserve"> سنة 2017</w:t>
      </w:r>
    </w:p>
    <w:p w:rsidR="000A0FD4" w:rsidRPr="00E060C7" w:rsidRDefault="000A0FD4" w:rsidP="000A0FD4">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برئاسة </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المستشار عبدالله بن حسن البوعينين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وعضوية المستشارين</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علي يوسف منصور ، معصومة عبدالرسول عيسى، نادر السيد علي عبدالمطلب ، عبدالله يعقوب عبدالرحمن </w:t>
      </w:r>
    </w:p>
    <w:p w:rsidR="000A0FD4" w:rsidRPr="00E060C7" w:rsidRDefault="000A0FD4" w:rsidP="000A0FD4">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A0FD4" w:rsidRPr="00E060C7" w:rsidRDefault="000A0FD4" w:rsidP="000A0FD4">
      <w:pPr>
        <w:tabs>
          <w:tab w:val="center" w:pos="3817"/>
          <w:tab w:val="left" w:pos="5319"/>
        </w:tabs>
        <w:bidi/>
        <w:spacing w:after="0" w:line="360" w:lineRule="auto"/>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ab/>
      </w:r>
    </w:p>
    <w:p w:rsidR="000A0FD4" w:rsidRPr="00E060C7" w:rsidRDefault="000A0FD4" w:rsidP="000A0FD4">
      <w:pPr>
        <w:tabs>
          <w:tab w:val="center" w:pos="3817"/>
          <w:tab w:val="left" w:pos="5319"/>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132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0A0FD4" w:rsidRPr="00E060C7" w:rsidRDefault="000A0FD4" w:rsidP="000A0FD4">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الطعن</w:t>
      </w:r>
      <w:r w:rsidRPr="00E060C7">
        <w:rPr>
          <w:rFonts w:asciiTheme="majorBidi" w:hAnsiTheme="majorBidi" w:cstheme="majorBidi" w:hint="cs"/>
          <w:b/>
          <w:bCs/>
          <w:sz w:val="32"/>
          <w:szCs w:val="32"/>
          <w:rtl/>
          <w:lang w:bidi="ar-BH"/>
        </w:rPr>
        <w:t>ان</w:t>
      </w:r>
      <w:r w:rsidRPr="00E060C7">
        <w:rPr>
          <w:rFonts w:asciiTheme="majorBidi" w:hAnsiTheme="majorBidi" w:cstheme="majorBidi"/>
          <w:b/>
          <w:bCs/>
          <w:sz w:val="32"/>
          <w:szCs w:val="32"/>
          <w:rtl/>
          <w:lang w:bidi="ar-BH"/>
        </w:rPr>
        <w:t xml:space="preserve"> رقم</w:t>
      </w:r>
      <w:r w:rsidRPr="00E060C7">
        <w:rPr>
          <w:rFonts w:asciiTheme="majorBidi" w:hAnsiTheme="majorBidi" w:cstheme="majorBidi" w:hint="cs"/>
          <w:b/>
          <w:bCs/>
          <w:sz w:val="32"/>
          <w:szCs w:val="32"/>
          <w:rtl/>
          <w:lang w:bidi="ar-BH"/>
        </w:rPr>
        <w:t>ا</w:t>
      </w:r>
      <w:r w:rsidRPr="00E060C7">
        <w:rPr>
          <w:rFonts w:asciiTheme="majorBidi" w:hAnsiTheme="majorBidi" w:cstheme="majorBidi"/>
          <w:b/>
          <w:bCs/>
          <w:sz w:val="32"/>
          <w:szCs w:val="32"/>
          <w:rtl/>
          <w:lang w:bidi="ar-BH"/>
        </w:rPr>
        <w:t xml:space="preserve"> </w:t>
      </w:r>
      <w:r w:rsidRPr="00E060C7">
        <w:rPr>
          <w:rFonts w:asciiTheme="majorBidi" w:hAnsiTheme="majorBidi" w:cstheme="majorBidi" w:hint="cs"/>
          <w:b/>
          <w:bCs/>
          <w:sz w:val="32"/>
          <w:szCs w:val="32"/>
          <w:rtl/>
          <w:lang w:bidi="ar-BH"/>
        </w:rPr>
        <w:t>784</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 xml:space="preserve">، 810 لسنة 2015 </w:t>
      </w:r>
    </w:p>
    <w:p w:rsidR="000A0FD4" w:rsidRPr="00E060C7" w:rsidRDefault="000A0FD4" w:rsidP="000A0FD4">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تأمين . تقادم . مسئولية . </w:t>
      </w:r>
    </w:p>
    <w:p w:rsidR="000A0FD4" w:rsidRPr="00E060C7" w:rsidRDefault="000A0FD4" w:rsidP="000A0FD4">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دعوى المضرور المباشرة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قبل المؤمن المقررة له بالقانون رقم 3 لسنة 1987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شأن التأمين ا</w:t>
      </w:r>
      <w:r w:rsidRPr="00E060C7">
        <w:rPr>
          <w:rFonts w:asciiTheme="majorBidi" w:hAnsiTheme="majorBidi" w:cstheme="majorBidi" w:hint="cs"/>
          <w:sz w:val="32"/>
          <w:szCs w:val="32"/>
          <w:rtl/>
          <w:lang w:bidi="ar-BH"/>
        </w:rPr>
        <w:t>لإ</w:t>
      </w:r>
      <w:r w:rsidRPr="00E060C7">
        <w:rPr>
          <w:rFonts w:asciiTheme="majorBidi" w:hAnsiTheme="majorBidi" w:cstheme="majorBidi"/>
          <w:sz w:val="32"/>
          <w:szCs w:val="32"/>
          <w:rtl/>
          <w:lang w:bidi="ar-BH"/>
        </w:rPr>
        <w:t>جبار</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عن حوادث المركبات . عدم النص على مدة خاصة لسماعها . أثره سريان التقادم العاد</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المنصوص عليه بالمادة 365 مدن</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ما لم تكن قد سقطت بالتقادم المنصوص عليه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الفقرة الأولى من المادة 180 من ذات القانون الت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نصت على عدم سماع دعوى المسئولية عن العمل غير المشروع </w:t>
      </w:r>
      <w:r w:rsidRPr="00E060C7">
        <w:rPr>
          <w:rFonts w:asciiTheme="majorBidi" w:hAnsiTheme="majorBidi" w:cstheme="majorBidi" w:hint="cs"/>
          <w:sz w:val="32"/>
          <w:szCs w:val="32"/>
          <w:rtl/>
          <w:lang w:bidi="ar-BH"/>
        </w:rPr>
        <w:t>ب</w:t>
      </w:r>
      <w:r w:rsidRPr="00E060C7">
        <w:rPr>
          <w:rFonts w:asciiTheme="majorBidi" w:hAnsiTheme="majorBidi" w:cstheme="majorBidi"/>
          <w:sz w:val="32"/>
          <w:szCs w:val="32"/>
          <w:rtl/>
          <w:lang w:bidi="ar-BH"/>
        </w:rPr>
        <w:t>مض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ثلاث سنوات من يوم علم المضرور بالضرر وبمن يسأل عنه . ثبوت أن الفعل غير المشروع فيها جريمة رفعت ال</w:t>
      </w:r>
      <w:r w:rsidRPr="00E060C7">
        <w:rPr>
          <w:rFonts w:asciiTheme="majorBidi" w:hAnsiTheme="majorBidi" w:cstheme="majorBidi" w:hint="cs"/>
          <w:sz w:val="32"/>
          <w:szCs w:val="32"/>
          <w:rtl/>
          <w:lang w:bidi="ar-BH"/>
        </w:rPr>
        <w:t xml:space="preserve">ى </w:t>
      </w:r>
      <w:r w:rsidRPr="00E060C7">
        <w:rPr>
          <w:rFonts w:asciiTheme="majorBidi" w:hAnsiTheme="majorBidi" w:cstheme="majorBidi"/>
          <w:sz w:val="32"/>
          <w:szCs w:val="32"/>
          <w:rtl/>
          <w:lang w:bidi="ar-BH"/>
        </w:rPr>
        <w:t>دعوى الجنائية على مقترفها . أثره وقف سريان التقادم بالنسبة لدعوى المضرور طوال مدة المحاكمة الجنائية . عودة سريانه بصدور الحكم الجنائ</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البات أو لسبب آخر من أسباب انقضائها . انقضاء الدعوى الجنائية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الجنح بصدور حكم بات فيها أو بمض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ثلاث سنوات من يوم وقوع الجريمة . انقطاع هذه المدة بإجراءات التحقيق أو الاتهام أو المحاكمة . بدء سريان المدة من تاريخ آخر إجراء فيها عند تعدد تلك الإجراءات . الحكم الجنائ</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الغياب</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الذ</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لم يعلن للمتهم . اعتباره آخر هذه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جراءات . يبدأ به سريان مدة انقضاء الدعوى بمض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المدة . </w:t>
      </w:r>
    </w:p>
    <w:p w:rsidR="000A0FD4" w:rsidRPr="00E060C7" w:rsidRDefault="000A0FD4" w:rsidP="000A0FD4">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0A0FD4" w:rsidRPr="00E060C7" w:rsidRDefault="000A0FD4" w:rsidP="000A0FD4">
      <w:pPr>
        <w:bidi/>
        <w:spacing w:after="0" w:line="360" w:lineRule="auto"/>
        <w:jc w:val="lowKashida"/>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w:t>
      </w:r>
    </w:p>
    <w:p w:rsidR="000A0FD4" w:rsidRPr="00E060C7" w:rsidRDefault="000A0FD4" w:rsidP="000A0FD4">
      <w:pPr>
        <w:bidi/>
        <w:spacing w:after="0" w:line="360" w:lineRule="auto"/>
        <w:jc w:val="lowKashida"/>
        <w:rPr>
          <w:rFonts w:asciiTheme="majorBidi" w:hAnsiTheme="majorBidi" w:cstheme="majorBidi"/>
          <w:b/>
          <w:bCs/>
          <w:sz w:val="32"/>
          <w:szCs w:val="32"/>
          <w:rtl/>
          <w:lang w:bidi="ar-BH"/>
        </w:rPr>
      </w:pPr>
      <w:r w:rsidRPr="00E060C7">
        <w:rPr>
          <w:rFonts w:asciiTheme="majorBidi" w:hAnsiTheme="majorBidi" w:cstheme="majorBidi"/>
          <w:sz w:val="32"/>
          <w:szCs w:val="32"/>
          <w:rtl/>
          <w:lang w:bidi="ar-BH"/>
        </w:rPr>
        <w:lastRenderedPageBreak/>
        <w:t>من المقرر أن منشأ الدعوى المباشرة المقررة للمضرور لمطالبة المؤمن عن المسئولية المدنية الناشئة عن حوادث السيارات بالتعويض هو المرسوم بقانون رقم 3 لسنة 1987 في شأن التأمين الإجباري عن حوادث المركبات الذي لم يقرر مدة خاصة لسماعها فيسر</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عليها التقادم العادي المنصوص عليه بالمادة 365 من القانون المدني ما لم تكن دعوى المضرور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قبل المؤمن له بموجب أحكام المسئولية عن العمل غير المشروع قد سقطت بالتقادم طبقا لنص الفقرة الأولى من المادة 180 من ذلك القانون وهو ما يحق للمؤمن التمسك به. وكانت </w:t>
      </w:r>
      <w:r w:rsidRPr="00E060C7">
        <w:rPr>
          <w:rFonts w:asciiTheme="majorBidi" w:hAnsiTheme="majorBidi" w:cstheme="majorBidi" w:hint="cs"/>
          <w:sz w:val="32"/>
          <w:szCs w:val="32"/>
          <w:rtl/>
          <w:lang w:bidi="ar-BH"/>
        </w:rPr>
        <w:t>هذه</w:t>
      </w:r>
      <w:r w:rsidRPr="00E060C7">
        <w:rPr>
          <w:rFonts w:asciiTheme="majorBidi" w:hAnsiTheme="majorBidi" w:cstheme="majorBidi"/>
          <w:sz w:val="32"/>
          <w:szCs w:val="32"/>
          <w:rtl/>
          <w:lang w:bidi="ar-BH"/>
        </w:rPr>
        <w:t xml:space="preserve"> المادة قد نصت على عدم سماع دعوى المسئولية عن العمل غير المشروع بمضي ثلاث سنوات من يوم علم المضرور بالضرر وبمن يسأل عنه إلا إذا كانت ناشئة عن جريمة فإنه لا يمتنع سماعها ما بقيت الدعوى الجنائية قائمة ولو كانت المدة </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سالفة الذكر قد انقضت</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بما </w:t>
      </w:r>
      <w:r w:rsidRPr="00E060C7">
        <w:rPr>
          <w:rFonts w:asciiTheme="majorBidi" w:hAnsiTheme="majorBidi" w:cstheme="majorBidi" w:hint="cs"/>
          <w:sz w:val="32"/>
          <w:szCs w:val="32"/>
          <w:rtl/>
          <w:lang w:bidi="ar-BH"/>
        </w:rPr>
        <w:t>فحوا</w:t>
      </w:r>
      <w:r w:rsidRPr="00E060C7">
        <w:rPr>
          <w:rFonts w:asciiTheme="majorBidi" w:hAnsiTheme="majorBidi" w:cstheme="majorBidi"/>
          <w:sz w:val="32"/>
          <w:szCs w:val="32"/>
          <w:rtl/>
          <w:lang w:bidi="ar-BH"/>
        </w:rPr>
        <w:t>ه أن مدة تقادم الدعوى المدنية يقف سريانها طوال مدة قيام الدعوى الجنائية حتى تاريخ انقضائها بأحد أسباب الانقضاء التي ينص عليها القانون ومن هذا التاريخ تستأنف مدة تقادم الدعوى المدنية سريانها وأن الدعوى الجنائية في الجنح تنقضي بصدور حكم بات فيها أو بمضي ثلاث سنوات من يوم وقوع الجريمة وتنقطع هذه المدة بإجراءات التحقيق أو الاتهام أو المحاكمة فتسر</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مدة جديدة من يوم الانقطاع وإذا تعددت هذه الإجراءات يبدأ سريان المدة من تاريخ آخر إجراء فيها ويعتبر الحكم الغيابي الصادر فيها آخر هذه الإجراءات إذا لم يعلن به المتهم المحكوم عليه فيبدأ به سريان مدة انقضاء الدعوى بمضي المدة </w:t>
      </w:r>
    </w:p>
    <w:p w:rsidR="000A0FD4" w:rsidRPr="00E060C7" w:rsidRDefault="000A0FD4" w:rsidP="000A0FD4">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w:t>
      </w:r>
    </w:p>
    <w:p w:rsidR="000A0FD4" w:rsidRPr="00E060C7" w:rsidRDefault="000A0FD4" w:rsidP="000A0FD4">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0A0FD4" w:rsidRPr="00E060C7" w:rsidRDefault="000A0FD4" w:rsidP="000A0FD4">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0A0FD4" w:rsidRPr="00E060C7" w:rsidRDefault="000A0FD4" w:rsidP="000A0FD4">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حيث إن الطعنين استوفيا أوضاعهما الشكلية.</w:t>
      </w:r>
    </w:p>
    <w:p w:rsidR="000A0FD4" w:rsidRPr="00E060C7" w:rsidRDefault="000A0FD4" w:rsidP="000A0FD4">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وحيث إن الوقائع – على ما يبين من الحكم المطعون فيه وسائر الأوراق – تتحصل في أن الطاعنين في الطعن رقم 784 لسنة 2015 أقاموا الدعوى رقم 14430 لسنة 2013 أمام المحكمة الكبرى المدنية على المطعون ضدهما بطلب الحكم بإلزامهما متضامنين بأن يؤديا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لطاعن الأول مبلغ خمسين ألف دينار تعويضا ماديا وأدبيا و</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ل</w:t>
      </w:r>
      <w:r w:rsidRPr="00E060C7">
        <w:rPr>
          <w:rFonts w:asciiTheme="majorBidi" w:hAnsiTheme="majorBidi" w:cstheme="majorBidi"/>
          <w:sz w:val="32"/>
          <w:szCs w:val="32"/>
          <w:rtl/>
          <w:lang w:bidi="ar-BH"/>
        </w:rPr>
        <w:t xml:space="preserve">كل من الطاعنين الثاني والثالثة مبلغ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لفي دينار و</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 xml:space="preserve">ى </w:t>
      </w:r>
      <w:r w:rsidRPr="00E060C7">
        <w:rPr>
          <w:rFonts w:asciiTheme="majorBidi" w:hAnsiTheme="majorBidi" w:cstheme="majorBidi"/>
          <w:sz w:val="32"/>
          <w:szCs w:val="32"/>
          <w:rtl/>
          <w:lang w:bidi="ar-BH"/>
        </w:rPr>
        <w:t>كل من باقي الطاعنين مبلغ ألف دينار وبالفوائد القانونية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وقالوا شرحا لدعواهم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 المطعون ضده الثاني تسبب بخطئه أثناء قيادته لسيارته المؤمن عليها لدى المطعون ضدها الأولى وقد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دين عنها بحكم جنائي في إحداث إصابة الطاعن الأول التي قدرت اللجنة الطبية نسبة العجز المستديم المتخلف عنها 50%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فضلا عما لحقه من أضرار معنوية هو وباقي الطاعنين وهم والد</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ه واشقا</w:t>
      </w:r>
      <w:r w:rsidRPr="00E060C7">
        <w:rPr>
          <w:rFonts w:asciiTheme="majorBidi" w:hAnsiTheme="majorBidi" w:cstheme="majorBidi" w:hint="cs"/>
          <w:sz w:val="32"/>
          <w:szCs w:val="32"/>
          <w:rtl/>
          <w:lang w:bidi="ar-BH"/>
        </w:rPr>
        <w:t>ؤ</w:t>
      </w:r>
      <w:r w:rsidRPr="00E060C7">
        <w:rPr>
          <w:rFonts w:asciiTheme="majorBidi" w:hAnsiTheme="majorBidi" w:cstheme="majorBidi"/>
          <w:sz w:val="32"/>
          <w:szCs w:val="32"/>
          <w:rtl/>
          <w:lang w:bidi="ar-BH"/>
        </w:rPr>
        <w:t xml:space="preserve">ه فقد أقاموا الدعوى. حكمت المحكمة بعدم سماع الدعوى بالنسبة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لمطعون ضدها الأولى لسقوط الحق في إقامتها بالتقادم وبإلزام المطعون ضده الثاني بأن يؤدي إلى الطاعن الأول مبلغ 20000 دينار وكل من الطاعنين الثاني والثالثة مبلغ 1000 دينار و</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 xml:space="preserve">ى </w:t>
      </w:r>
      <w:r w:rsidRPr="00E060C7">
        <w:rPr>
          <w:rFonts w:asciiTheme="majorBidi" w:hAnsiTheme="majorBidi" w:cstheme="majorBidi"/>
          <w:sz w:val="32"/>
          <w:szCs w:val="32"/>
          <w:rtl/>
          <w:lang w:bidi="ar-BH"/>
        </w:rPr>
        <w:t>باقي الطاعنين مبلغ 500 دينار يوزع بالسوية بينهم بحكم استأنفه الطاعنون بالاستئناف رقم 132 لسنة 2015 أمام محكمة الاستئناف العليا المدنية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كما استأنفه المطعون ضده الثاني "المحكوم ضده" بالاستئناف رقم 496 لسنة 2015 وفيهما قضت المحكمة</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بتأييد الحكم المستأنف، </w:t>
      </w:r>
      <w:r w:rsidRPr="00E060C7">
        <w:rPr>
          <w:rFonts w:asciiTheme="majorBidi" w:hAnsiTheme="majorBidi" w:cstheme="majorBidi" w:hint="cs"/>
          <w:sz w:val="32"/>
          <w:szCs w:val="32"/>
          <w:rtl/>
          <w:lang w:bidi="ar-BH"/>
        </w:rPr>
        <w:t>ف</w:t>
      </w:r>
      <w:r w:rsidRPr="00E060C7">
        <w:rPr>
          <w:rFonts w:asciiTheme="majorBidi" w:hAnsiTheme="majorBidi" w:cstheme="majorBidi"/>
          <w:sz w:val="32"/>
          <w:szCs w:val="32"/>
          <w:rtl/>
          <w:lang w:bidi="ar-BH"/>
        </w:rPr>
        <w:t>طعن المحكوم لصالحهم بالتمييز بالطعن رقم 784 لسنة 2015 كما طعن فيه المحكوم ضده بالطعن رقم 810 لسنة 2015 وقدم المكتب الفني مذكرة برأيه في الطعنين اللذين أمرت المحكمة بضمهما للارتباط وليصدر فيهما حكم واحد.</w:t>
      </w:r>
    </w:p>
    <w:p w:rsidR="000A0FD4" w:rsidRPr="00E060C7" w:rsidRDefault="000A0FD4" w:rsidP="000A0FD4">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مما ينعى به الطاعنون في الطعن رقم 784 لسنة 2015 والطاعن في الطعن رقم 810 لسنة 2015 على الحكم المطعون فيه مخالفة القانون والخطأ في تطبيقه والإخلال بحق الدفاع</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وفي بيان ذلك يقول الطاعنون في الطعن الأول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 الحكم المطعون فيه قضى بتأييد الحكم الابتدائي بسقوط حقهم في إقامة الدعوى قبل المطعون ضدها الأولى استنادا إلى نص المادة 180 من القانون المدني التي تنص على عدم سماع الدعوى في المسئولية التقصيرية بمضي ثلاث سنوات مع أنهم قد سبق لهم إقامة الدعوى 4687 لسنة 2008 التي شطبت بتاريخ 26/1/2012 ثم 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باعتبارها كأن لم تكن بجلسة 30/9/2013 وقد صدر الحكم الجنائي بإدانة المطعون ضده الثاني بتاريخ 31/12/2005 وهو ما يفيد إقامة دعواهم الأولى في الميعاد وأنها تقطع التقادم بالنسبة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لدعوى الماثلة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فضلا</w:t>
      </w:r>
      <w:r w:rsidRPr="00E060C7">
        <w:rPr>
          <w:rFonts w:asciiTheme="majorBidi" w:hAnsiTheme="majorBidi" w:cstheme="majorBidi" w:hint="cs"/>
          <w:sz w:val="32"/>
          <w:szCs w:val="32"/>
          <w:rtl/>
          <w:lang w:bidi="ar-BH"/>
        </w:rPr>
        <w:t xml:space="preserve"> عن</w:t>
      </w:r>
      <w:r w:rsidRPr="00E060C7">
        <w:rPr>
          <w:rFonts w:asciiTheme="majorBidi" w:hAnsiTheme="majorBidi" w:cstheme="majorBidi"/>
          <w:sz w:val="32"/>
          <w:szCs w:val="32"/>
          <w:rtl/>
          <w:lang w:bidi="ar-BH"/>
        </w:rPr>
        <w:t xml:space="preserve"> أن تقادم الدعوى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قبل المؤمن تأمينا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جباريا تخضع للتقادم العشري وليس التقادم القصير</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كما ينعى الطاعن في الطعن الثاني على الحكم المطعون فيه قضاءه بإلزامه بالتعويض مع أن مطالبة المطعون ضدهم له قد انقضت بالتقادم مما يعيبه ويستوجب نقضه.</w:t>
      </w:r>
    </w:p>
    <w:p w:rsidR="000A0FD4" w:rsidRPr="00E060C7" w:rsidRDefault="000A0FD4" w:rsidP="000A0FD4">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نه لما كان منشأ الدعوى المباشرة المقررة للمضرور لمطالبة المؤمن عن المسئولية المدنية الناشئة عن حوادث السيارات بالتعويض هو المرسوم بقانون رقم 3 لسنة </w:t>
      </w:r>
    </w:p>
    <w:p w:rsidR="000A0FD4" w:rsidRPr="00E060C7" w:rsidRDefault="000A0FD4" w:rsidP="000A0FD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1987 في شأن التأمين الإجباري عن حوادث المركبات الذي لم يقرر مدة خاصة لسماعها فيسر</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عليها التقادم العادي المنصوص عليه بالمادة 365 من القانون المدني ما لم تكن دعوى المضرور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قبل المؤمن له بموجب أحكام المسئولية عن العمل غير المشروع قد سقطت بالتقادم طبقا لنص الفقرة الأولى من المادة 180 من ذلك القانون وهو ما يحق للمؤمن التمسك به. وكانت </w:t>
      </w:r>
      <w:r w:rsidRPr="00E060C7">
        <w:rPr>
          <w:rFonts w:asciiTheme="majorBidi" w:hAnsiTheme="majorBidi" w:cstheme="majorBidi" w:hint="cs"/>
          <w:sz w:val="32"/>
          <w:szCs w:val="32"/>
          <w:rtl/>
          <w:lang w:bidi="ar-BH"/>
        </w:rPr>
        <w:t>هذه</w:t>
      </w:r>
      <w:r w:rsidRPr="00E060C7">
        <w:rPr>
          <w:rFonts w:asciiTheme="majorBidi" w:hAnsiTheme="majorBidi" w:cstheme="majorBidi"/>
          <w:sz w:val="32"/>
          <w:szCs w:val="32"/>
          <w:rtl/>
          <w:lang w:bidi="ar-BH"/>
        </w:rPr>
        <w:t xml:space="preserve"> المادة قد نصت على عدم سماع دعوى المسئولية عن العمل غير المشروع بمضي ثلاث سنوات من يوم علم المضرور بالضرر وبمن يسأل عنه إلا إذا كانت ناشئة عن جريمة فإنه لا يمتنع سماعها ما بقيت الدعوى الجنائية قائمة ولو كانت المدة </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سالفة الذكر قد انقضت</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بما </w:t>
      </w:r>
      <w:r w:rsidRPr="00E060C7">
        <w:rPr>
          <w:rFonts w:asciiTheme="majorBidi" w:hAnsiTheme="majorBidi" w:cstheme="majorBidi" w:hint="cs"/>
          <w:sz w:val="32"/>
          <w:szCs w:val="32"/>
          <w:rtl/>
          <w:lang w:bidi="ar-BH"/>
        </w:rPr>
        <w:t>فحو</w:t>
      </w:r>
      <w:r w:rsidRPr="00E060C7">
        <w:rPr>
          <w:rFonts w:asciiTheme="majorBidi" w:hAnsiTheme="majorBidi" w:cstheme="majorBidi"/>
          <w:sz w:val="32"/>
          <w:szCs w:val="32"/>
          <w:rtl/>
          <w:lang w:bidi="ar-BH"/>
        </w:rPr>
        <w:t>اه أن مدة تقادم الدعوى المدنية يقف سريانها طوال مدة قيام الدعوى الجنائية حتى تاريخ انقضائها بأحد أسباب الانقضاء التي ينص عليها القانون ومن هذا التاريخ تستأنف مدة تقادم الدعوى المدنية سريانها وأن الدعوى الجنائية في الجنح تنقضي بصدور حكم بات فيها أو بمضي ثلاث سنوات من يوم وقوع الجريمة وتنقطع هذه المدة بإجراءات التحقيق أو الاتهام أو المحاكمة فتسر</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مدة جديدة من يوم الانقطاع وإذا تعددت هذه الإجراءات يبدأ سريان المدة من تاريخ آخر إجراء فيها ويعتبر الحكم الغيابي الصادر فيها آخر هذه الإجراءات إذا لم يعلن به المتهم المحكوم عليه فيبدأ به سريان مدة انقضاء الدعوى بمضي المدة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لما كان ذلك وكان الواقع الثابت في الدعوى</w:t>
      </w:r>
      <w:r w:rsidRPr="00E060C7">
        <w:rPr>
          <w:rFonts w:asciiTheme="majorBidi" w:hAnsiTheme="majorBidi" w:cstheme="majorBidi" w:hint="cs"/>
          <w:sz w:val="32"/>
          <w:szCs w:val="32"/>
          <w:rtl/>
          <w:lang w:bidi="ar-BH"/>
        </w:rPr>
        <w:t xml:space="preserve"> _ </w:t>
      </w:r>
      <w:r w:rsidRPr="00E060C7">
        <w:rPr>
          <w:rFonts w:asciiTheme="majorBidi" w:hAnsiTheme="majorBidi" w:cstheme="majorBidi"/>
          <w:sz w:val="32"/>
          <w:szCs w:val="32"/>
          <w:rtl/>
          <w:lang w:bidi="ar-BH"/>
        </w:rPr>
        <w:t>وحسبما حصله الحكم الابتدائي وبغير منازعة من الخصوم</w:t>
      </w:r>
      <w:r w:rsidRPr="00E060C7">
        <w:rPr>
          <w:rFonts w:asciiTheme="majorBidi" w:hAnsiTheme="majorBidi" w:cstheme="majorBidi" w:hint="cs"/>
          <w:sz w:val="32"/>
          <w:szCs w:val="32"/>
          <w:rtl/>
          <w:lang w:bidi="ar-BH"/>
        </w:rPr>
        <w:t xml:space="preserve"> _</w:t>
      </w:r>
      <w:r w:rsidRPr="00E060C7">
        <w:rPr>
          <w:rFonts w:asciiTheme="majorBidi" w:hAnsiTheme="majorBidi" w:cstheme="majorBidi"/>
          <w:sz w:val="32"/>
          <w:szCs w:val="32"/>
          <w:rtl/>
          <w:lang w:bidi="ar-BH"/>
        </w:rPr>
        <w:t xml:space="preserve"> أن الحادث المطالب بالتعويض عنه قد ارتكب بتاريخ 20/10/2004 وقد رفعت عنه الدعوى الجنائية رقم 2601 لسنة 2004 وقد صدر فيها حكم غيابي بتغريم المطعون ضده الثاني في الطعن الأول مائة دينار بجلسة 31/12/2005 وقد خلت الأوراق مما يفيد إعلانه فإن الدعوى الجنائية تكون قد انقضت</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بمضي ثلاث سنوات على هذا التاريخ في 31/12/2008 الذي يبدأ منه احتساب تقادم الدعوى المدنية الماثلة التي أقيمت بتاريخ 25/11/2013 فإنه تكون قد أقيمت بعد مضي أكثر من ثلاث سنوات والمنصوص عليها قانونا في المادة 180 من القانون المدني ولا يغير من هذا النظر سبق إقامة الطاعنين الدعوى المدنية رقم 4687 لسنة 2008 التي شطبت بتاريخ 26/1/2011 وبعد تجديدها 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فيها باعتبارها كأن لم تكن</w:t>
      </w:r>
      <w:r w:rsidRPr="00E060C7">
        <w:rPr>
          <w:rFonts w:asciiTheme="majorBidi" w:hAnsiTheme="majorBidi" w:cstheme="majorBidi" w:hint="cs"/>
          <w:sz w:val="32"/>
          <w:szCs w:val="32"/>
          <w:rtl/>
          <w:lang w:bidi="ar-BH"/>
        </w:rPr>
        <w:t xml:space="preserve"> ، </w:t>
      </w:r>
      <w:r w:rsidRPr="00E060C7">
        <w:rPr>
          <w:rFonts w:asciiTheme="majorBidi" w:hAnsiTheme="majorBidi" w:cstheme="majorBidi"/>
          <w:sz w:val="32"/>
          <w:szCs w:val="32"/>
          <w:rtl/>
          <w:lang w:bidi="ar-BH"/>
        </w:rPr>
        <w:t xml:space="preserve">ذلك أن انقطاع التقادم المترتب على المطالبة القضائية يتحقق بصدور حكم نهائي فيها بإجابة صاحبها إلى طلبه كله أو بعضه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ما انتهاؤها بغير ذلك كالحكم باعتبارها كأن لم تكن فإنه يزيل أثرها في الانقطاع ويصبح التقادم الذي بدأ قبلها مستمرا لم ينقطع</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وإذ وافق الحكم الابتدائي المؤيد بالحكم المطعون فيه هذا النظر وقضى بعدم سماع الدعوى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قبل المطعون ضدها الأولى لسقوط الحق في إقامتها بالتقادم فإنه يكون قد طبق القانون على وجهه الصحيح ويضحى النعي عليه في هذا الشأن على غير أساس.</w:t>
      </w:r>
    </w:p>
    <w:p w:rsidR="000A0FD4" w:rsidRPr="00E060C7" w:rsidRDefault="000A0FD4" w:rsidP="000A0FD4">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وإذ كان الطاعن في الطعن رقم 810 لسنة 2015 قد تمسك في دفاعه أمام محكمة الاستئناف العليا بسقوط الحق في إقامة الدعوى</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قبله بمضي المدة إلا أن الحكم المطعون فيه غفل عن هذا الدفاع مع أنه قضى بتأييد الحكم الابتدائي بسقوط الحق في إقامة الدعوى استجابة لدفع المطعون ضدها الأخيرة شركة التأمين والقائم أساسا على سقوطها قبل المؤمن له "وهو الطاعن في الطعن رقم 810 لسنة 2015" فإنه يكون مشوبا بالقصور المبطل وهو ما جره إلى الخطأ في تطبيق القانون مما يعيبه ويوجب نقضه فيما قضى به من إلزام الطاعن بمبلغ التعويض المقضي به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دون حاجة إلى بحث باقي أسباب الطعنين.</w:t>
      </w:r>
    </w:p>
    <w:p w:rsidR="000A0FD4" w:rsidRPr="00E060C7" w:rsidRDefault="000A0FD4" w:rsidP="000A0FD4">
      <w:pPr>
        <w:bidi/>
        <w:spacing w:after="0" w:line="360" w:lineRule="auto"/>
        <w:ind w:firstLine="720"/>
        <w:jc w:val="lowKashida"/>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w:t>
      </w:r>
    </w:p>
    <w:p w:rsidR="000A0FD4" w:rsidRPr="00E060C7" w:rsidRDefault="000A0FD4" w:rsidP="000A0FD4">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وحيث إن الموضوع صالح للفصل فيه ولما تقدم يتعين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لغاء الحكم المستأنف فيما قضى به على الطاعن في الطعن رقم 810 لسنة 2015 وبعدم سماع الدعوى ق</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بله لسقوط الحق في إقامتها بمضي المدة.</w:t>
      </w:r>
    </w:p>
    <w:p w:rsidR="00881E95" w:rsidRDefault="00881E95">
      <w:pPr>
        <w:rPr>
          <w:lang w:bidi="ar-BH"/>
        </w:rPr>
      </w:pPr>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713"/>
    <w:rsid w:val="0003272B"/>
    <w:rsid w:val="000A0FD4"/>
    <w:rsid w:val="00881E95"/>
    <w:rsid w:val="008C27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FD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FD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1267</Words>
  <Characters>7225</Characters>
  <Application>Microsoft Office Word</Application>
  <DocSecurity>0</DocSecurity>
  <Lines>60</Lines>
  <Paragraphs>16</Paragraphs>
  <ScaleCrop>false</ScaleCrop>
  <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2020-04-21T11:53:00Z</dcterms:created>
  <dcterms:modified xsi:type="dcterms:W3CDTF">2020-04-21T11:54:00Z</dcterms:modified>
</cp:coreProperties>
</file>