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EF6" w:rsidRPr="00011591" w:rsidRDefault="00795EF6" w:rsidP="00795EF6">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23 من مايو سنة 2017</w:t>
      </w:r>
    </w:p>
    <w:p w:rsidR="00795EF6" w:rsidRPr="00011591" w:rsidRDefault="00795EF6" w:rsidP="00795EF6">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 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w:t>
      </w:r>
      <w:r w:rsidRPr="00011591">
        <w:rPr>
          <w:rFonts w:asciiTheme="majorBidi" w:hAnsiTheme="majorBidi" w:cstheme="majorBidi" w:hint="cs"/>
          <w:sz w:val="32"/>
          <w:szCs w:val="32"/>
          <w:rtl/>
          <w:lang w:bidi="ar-BH"/>
        </w:rPr>
        <w:t>د.</w:t>
      </w:r>
      <w:r w:rsidRPr="00011591">
        <w:rPr>
          <w:rFonts w:asciiTheme="majorBidi" w:hAnsiTheme="majorBidi" w:cstheme="majorBidi"/>
          <w:sz w:val="32"/>
          <w:szCs w:val="32"/>
          <w:rtl/>
          <w:lang w:bidi="ar-BH"/>
        </w:rPr>
        <w:t>طه عبدالمول</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طه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نادر السيد علي عبدالمطلب،إبراهيم محمد المرصفاوي ،عدنان عبدالله الشيخ هزيم الشامسي</w:t>
      </w:r>
    </w:p>
    <w:p w:rsidR="00795EF6" w:rsidRPr="00011591" w:rsidRDefault="00795EF6" w:rsidP="00795EF6">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795EF6" w:rsidRPr="00011591" w:rsidRDefault="00795EF6" w:rsidP="00795EF6">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210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795EF6" w:rsidRPr="00011591" w:rsidRDefault="00795EF6" w:rsidP="00795EF6">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954 لسنة 2015 </w:t>
      </w:r>
    </w:p>
    <w:p w:rsidR="00795EF6" w:rsidRPr="00011591" w:rsidRDefault="00795EF6" w:rsidP="00795EF6">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(1-5) ايجار . حكم " عيوب التدليل : الخطأ فى تطبيق القانون - مخالفة الثابت بالأوراق " . دفاع " الدفاع الجوهرى " . عقد . محكمة الموضوع.منع من السفر .          </w:t>
      </w:r>
    </w:p>
    <w:p w:rsidR="00795EF6" w:rsidRPr="00011591" w:rsidRDefault="00795EF6" w:rsidP="00795EF6">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منع المدعى عليه من السفر . شرطه أن يثبت طالب المنع أن فراره من الخصومة قد أصبح قريبا بأدلة سائغة تؤد</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إلى ذلك . م 178 مرافعات قبل تعديلها بالقانون رقم 29 لسنة 2015 . ث</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 xml:space="preserve">وت خلو الأوراق من </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دليل على أن المطعون ضده أعد العده لهروبه وفراره من الخصومة . قضاء الحكم المطعون فيه بتأييد الحكم الابتدائ</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برفض تظلم الطاعن من رفض طلبه منع المطعون ضده الأول من السفر صحيح . النع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عليه</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غير مقبول . </w:t>
      </w:r>
    </w:p>
    <w:p w:rsidR="00795EF6" w:rsidRPr="00011591" w:rsidRDefault="00795EF6" w:rsidP="00795EF6">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استناد الخصم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دفاع قد يترتب على تحقيقه تغيير وجه الرأ</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إلى أوراق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و مستندات أو وقائع لها دلالة معينة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شأن ثبوت هذا الدفاع أو نفيه . وجوب على محكمة الموضوع أن تعرض لها وإبداء رأيها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شأن دلالتها إيجابا أو سلبا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حكمها . مخالفة ذلك قصور .   </w:t>
      </w:r>
    </w:p>
    <w:p w:rsidR="00795EF6" w:rsidRPr="00011591" w:rsidRDefault="00795EF6" w:rsidP="00795EF6">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تمسك الطاعن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دفاعه أمام محكمة الموضوع </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أن المطعون ضده الثان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هو المستأجر الحقيق</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والفعل</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لشقة النزاع وأنها كانت مقر المؤسسة والمسئول عن سداد أجرتها وهو ما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كده شاهده أمام محكمة أول درجة وقدم تدليلا على ذلك صورة عقد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يجار ومستخرج</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من السجل التجار</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وصور فواتير كهرباء وخطاب</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موجه</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منها للطاعن بإنهاء عقد الايجار . دفاع جوهر</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 إطراح الحكم المطعون فيه هذا الدفاع والمستندات المؤيدة له على سند من خلو الأوراق من دليل على وجود رابطة بين </w:t>
      </w:r>
      <w:r w:rsidRPr="00011591">
        <w:rPr>
          <w:rFonts w:asciiTheme="majorBidi" w:hAnsiTheme="majorBidi" w:cstheme="majorBidi"/>
          <w:sz w:val="32"/>
          <w:szCs w:val="32"/>
          <w:rtl/>
          <w:lang w:bidi="ar-BH"/>
        </w:rPr>
        <w:lastRenderedPageBreak/>
        <w:t>المطعون ضده الاول الم</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وقع عقد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يجار بصفته مدير الشركة والمطعون ضده الثان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بحث تلك المستندات وإبداء رأيه بشأن دلالتها مخالفة .     </w:t>
      </w:r>
    </w:p>
    <w:p w:rsidR="00795EF6" w:rsidRPr="00011591" w:rsidRDefault="00795EF6" w:rsidP="00795EF6">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العقد شريعة المتعاقدين . عدم جواز استقلال أحدهما بنق</w:t>
      </w:r>
      <w:r w:rsidRPr="00011591">
        <w:rPr>
          <w:rFonts w:asciiTheme="majorBidi" w:hAnsiTheme="majorBidi" w:cstheme="majorBidi" w:hint="cs"/>
          <w:sz w:val="32"/>
          <w:szCs w:val="32"/>
          <w:rtl/>
          <w:lang w:bidi="ar-BH"/>
        </w:rPr>
        <w:t>ض</w:t>
      </w:r>
      <w:r w:rsidRPr="00011591">
        <w:rPr>
          <w:rFonts w:asciiTheme="majorBidi" w:hAnsiTheme="majorBidi" w:cstheme="majorBidi"/>
          <w:sz w:val="32"/>
          <w:szCs w:val="32"/>
          <w:rtl/>
          <w:lang w:bidi="ar-BH"/>
        </w:rPr>
        <w:t>ه أو تعديل أحكامه إلا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حد</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د ما يسمح به الاتفاق أو يقض</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به القانون . مؤداه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لتزام المستأجر بأداء الأجرة المتفق عليها طوال المدة المحددة لعقد الايجار سواء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نتفع بالمأجور أم لا طالما مكنه المؤجر من الانتفاع به . إنهاء الايجار قبل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نتهاء مدته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عذر يمتنع به موجب العقد . أثره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لتزامه بتعويض المؤجر عما لحقه من ضرر بسبب ذلك . م 128 مدن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   </w:t>
      </w:r>
    </w:p>
    <w:p w:rsidR="00795EF6" w:rsidRPr="00011591" w:rsidRDefault="00795EF6" w:rsidP="00795EF6">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(5) ثبوت أن عقد الايجار محل التداع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مدته سنتان ولا يجوز للمستأجر إنهاء الايجار بإرادته المنفردة قبل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نقضاء مدته إلا بعذر مقبول . قضاء الحكم المطعون فيه برفض طلب الطاعن الأجرة عن باق</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مدة العقد تأسيسا على عدم الاتفاق على ذلك دون التحقق مما إذا كان ترك المستأجر للعين قبل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نقضاء العقد كان بعذر يمتنع به إستمرار العقد من عدمه أو إذا كانت العين تم تأجيرها للغير خلال الفترة المتبقية من العقد أم لا فضلا عن رفض طلبه قيمة استهلاك الكهرباء والمياه استنادا إلى أن الطاعن هو الملزم بها خلاف الثابت بالعقد أن الأجرة لا تشمل مقابل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ستهلاك الكهرباء والمياه خطأ ومخالفة .  </w:t>
      </w:r>
    </w:p>
    <w:p w:rsidR="00795EF6" w:rsidRPr="00011591" w:rsidRDefault="00795EF6" w:rsidP="00795EF6">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795EF6" w:rsidRPr="00011591" w:rsidRDefault="00795EF6" w:rsidP="00795EF6">
      <w:pPr>
        <w:numPr>
          <w:ilvl w:val="0"/>
          <w:numId w:val="1"/>
        </w:numPr>
        <w:bidi/>
        <w:spacing w:after="0"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المقرر طبقا لنص المادة 178 من قانون المرافعات قبل تعديلها بالقانون رقم 29 لسنة 2015 انه يشترط لمنع المدعى عليه من السفر ان يثبت طالب المنع ان فراره من الخصومة قد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 xml:space="preserve">صبح قريبا بأدلة سائغة تؤدي الى ذلك، وكان البين من الاوراق انها قد جاءت خلوا من </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دليل على ان المطعون ضده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 xml:space="preserve">عد العدة لهروبه وفراره من الخصومة فلا على الحكم المطعون فيه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ن ايد الحكم الابتدائي فيما قضى به من رفض تظلم الطاعن من رفض طلبه منع المطعون ضده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ول من السفر بغض النظر عن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 xml:space="preserve">ساس القانوني الذي بنى قضاءه عليه مادام  قد انتهى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لى صحيح ومن ثم يضحى النعي غير مقبول.</w:t>
      </w:r>
    </w:p>
    <w:p w:rsidR="00795EF6" w:rsidRPr="00011591" w:rsidRDefault="00795EF6" w:rsidP="00795EF6">
      <w:pPr>
        <w:pStyle w:val="Title"/>
        <w:numPr>
          <w:ilvl w:val="0"/>
          <w:numId w:val="1"/>
        </w:numPr>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المقرر ان استناد الخصم في دفاع قد يترتب على تحقيقه تغيير وجه الرأي في الدعوى الى اوراق او مستندات او وقائع لها دلالة معينة في شأن ثبوت هذا الدفاع او نفيه يوجب على محكمة الموضوع ان تعرض لتلك الاوراق والمستندات والوقائع لتقول رأيها في شأن دلالتها ايجابا او سلبا والا كان حكمها قاصرا. </w:t>
      </w:r>
    </w:p>
    <w:p w:rsidR="00795EF6" w:rsidRPr="00011591" w:rsidRDefault="00795EF6" w:rsidP="00795EF6">
      <w:pPr>
        <w:pStyle w:val="Title"/>
        <w:numPr>
          <w:ilvl w:val="0"/>
          <w:numId w:val="1"/>
        </w:numPr>
        <w:spacing w:line="360" w:lineRule="auto"/>
        <w:ind w:left="0"/>
        <w:jc w:val="both"/>
        <w:rPr>
          <w:rFonts w:asciiTheme="majorBidi" w:hAnsiTheme="majorBidi" w:cstheme="majorBidi"/>
          <w:sz w:val="32"/>
          <w:szCs w:val="32"/>
        </w:rPr>
      </w:pPr>
      <w:r w:rsidRPr="00011591">
        <w:rPr>
          <w:rFonts w:asciiTheme="majorBidi" w:hAnsiTheme="majorBidi" w:cstheme="majorBidi"/>
          <w:sz w:val="32"/>
          <w:szCs w:val="32"/>
          <w:rtl/>
          <w:lang w:bidi="ar-BH"/>
        </w:rPr>
        <w:t xml:space="preserve">إذ كان ذلك وكان الطاعن قد تمسك بدفاعه امام محكمة الموضوع بأن المطعون ضده الثاني هو المستأجر الحقيقي والفعلي لشقة النزاع وبأنها كانت مقرا لمؤسسته وانه المسئول عن سداد اجرتها وهو ما اكده شاهده امام محكمة اول درجة، كما قدم تدليلا على ذلك صورة عقد الايجار ثبت به ان شركة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هي المستأجر لشقة النزاع ومستخرجا من السجل التجاري ثابتا بالصفحة الثانية منه انه صاحب السجل التجاري وصورا لفواتير 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ن هيئة الكهرباء وثابت</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منها ان هذه المؤسسة هي المنتفعة </w:t>
      </w:r>
      <w:r w:rsidRPr="00011591">
        <w:rPr>
          <w:rFonts w:asciiTheme="majorBidi" w:hAnsiTheme="majorBidi" w:cstheme="majorBidi" w:hint="cs"/>
          <w:sz w:val="32"/>
          <w:szCs w:val="32"/>
          <w:rtl/>
          <w:lang w:bidi="ar-BH"/>
        </w:rPr>
        <w:t>با</w:t>
      </w:r>
      <w:r w:rsidRPr="00011591">
        <w:rPr>
          <w:rFonts w:asciiTheme="majorBidi" w:hAnsiTheme="majorBidi" w:cstheme="majorBidi"/>
          <w:sz w:val="32"/>
          <w:szCs w:val="32"/>
          <w:rtl/>
          <w:lang w:bidi="ar-BH"/>
        </w:rPr>
        <w:t>لشقة وخطابا موجها من المطعون ضده الاول محررا على مطبوعاتها يخطر به الطاعن بإنهاء عقد الايجار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واذ اطرح الحكم المطعون هذا الدفاع الجوهري والمستندات المؤيدة له على سند من خلو الاوراق من دليل على وجود رابطة بين المطعون ضده الاول الموقع عقد الايجار بصفته مدير تلك المؤسسة والمطعون ضده الثاني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ان يعنى ببحث تلك المستندات ويقول كلمته بشأن دلالتها فانه يكون معيبا</w:t>
      </w:r>
      <w:r w:rsidRPr="00011591">
        <w:rPr>
          <w:rFonts w:asciiTheme="majorBidi" w:hAnsiTheme="majorBidi" w:cstheme="majorBidi" w:hint="cs"/>
          <w:sz w:val="32"/>
          <w:szCs w:val="32"/>
          <w:rtl/>
        </w:rPr>
        <w:t>.</w:t>
      </w:r>
    </w:p>
    <w:p w:rsidR="00795EF6" w:rsidRPr="00011591" w:rsidRDefault="00795EF6" w:rsidP="00795EF6">
      <w:pPr>
        <w:pStyle w:val="Title"/>
        <w:numPr>
          <w:ilvl w:val="0"/>
          <w:numId w:val="1"/>
        </w:numPr>
        <w:spacing w:line="360" w:lineRule="auto"/>
        <w:ind w:left="0"/>
        <w:jc w:val="both"/>
        <w:rPr>
          <w:rFonts w:asciiTheme="majorBidi" w:hAnsiTheme="majorBidi" w:cstheme="majorBidi"/>
          <w:sz w:val="32"/>
          <w:szCs w:val="32"/>
        </w:rPr>
      </w:pPr>
      <w:r w:rsidRPr="00011591">
        <w:rPr>
          <w:rFonts w:asciiTheme="majorBidi" w:hAnsiTheme="majorBidi" w:cstheme="majorBidi"/>
          <w:sz w:val="32"/>
          <w:szCs w:val="32"/>
          <w:rtl/>
          <w:lang w:bidi="ar-BH"/>
        </w:rPr>
        <w:t xml:space="preserve">المقرر طبقا لنص المادة 128 من القانون المدني ان العقد شريعة المتعاقدين فلا يجوز لأحدهما ان يستقل بنقضه او تعديل احكامه الا في حدود ما يسمح به الاتفاق او يقضي به القانون، فان المستأجر يلتزم بأداء الاجرة المتفق عليها طوال المدة المحددة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عقد الايجار سواء انتفع بالمأجور ام لم ينتفع مادام المؤجر قد مكنه من الانتفاع به ولا يحق له انهاء الايجار بإرادته المنفردة قبل انقضاء مدته الا بعذر يمتنع به موجب العقد والا كان ملتزما بتعويض المؤجر عما لحقه من ضرر بسبب ذلك. </w:t>
      </w:r>
    </w:p>
    <w:p w:rsidR="00795EF6" w:rsidRPr="00011591" w:rsidRDefault="00795EF6" w:rsidP="00795EF6">
      <w:pPr>
        <w:pStyle w:val="Title"/>
        <w:numPr>
          <w:ilvl w:val="0"/>
          <w:numId w:val="1"/>
        </w:numPr>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وإذ كان الثابت بالأوراق ان عقد الايجار محل التداعي مدته سنتان تبدأ </w:t>
      </w:r>
      <w:r w:rsidRPr="00011591">
        <w:rPr>
          <w:rFonts w:asciiTheme="majorBidi" w:hAnsiTheme="majorBidi" w:cstheme="majorBidi" w:hint="cs"/>
          <w:sz w:val="32"/>
          <w:szCs w:val="32"/>
          <w:rtl/>
          <w:lang w:bidi="ar-BH"/>
        </w:rPr>
        <w:t>من</w:t>
      </w:r>
      <w:r w:rsidRPr="00011591">
        <w:rPr>
          <w:rFonts w:asciiTheme="majorBidi" w:hAnsiTheme="majorBidi" w:cstheme="majorBidi"/>
          <w:sz w:val="32"/>
          <w:szCs w:val="32"/>
          <w:rtl/>
          <w:lang w:bidi="ar-BH"/>
        </w:rPr>
        <w:t xml:space="preserve"> 1/4/2012 وتنتهي في 31/3/2014 فلا يجوز للمستأجر انهاء الايجار بإرادته المنفردة قبل انقضاء مدته الا بعذر مقبول، واذ ذهب الحكم المطعون فيه الى خلاف ذلك وقضى برفض طلب الطاعن الاجرة عن باقي مدة العقد على ما ذهب اليه من عدم الاتفاق على ذلك و</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ان يسبغ على هذا الطلب تكييفه ووصفه القانون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ين الصحيحين ويتحقق مما اذا كان ترك المستأجر للعين قبل انقضاء </w:t>
      </w:r>
      <w:r w:rsidRPr="00011591">
        <w:rPr>
          <w:rFonts w:asciiTheme="majorBidi" w:hAnsiTheme="majorBidi" w:cstheme="majorBidi" w:hint="cs"/>
          <w:sz w:val="32"/>
          <w:szCs w:val="32"/>
          <w:rtl/>
          <w:lang w:bidi="ar-BH"/>
        </w:rPr>
        <w:t xml:space="preserve">مدة </w:t>
      </w:r>
      <w:r w:rsidRPr="00011591">
        <w:rPr>
          <w:rFonts w:asciiTheme="majorBidi" w:hAnsiTheme="majorBidi" w:cstheme="majorBidi"/>
          <w:sz w:val="32"/>
          <w:szCs w:val="32"/>
          <w:rtl/>
          <w:lang w:bidi="ar-BH"/>
        </w:rPr>
        <w:t>العقد كان بعذر يمتنع به استمرار العقد من عدمه وما اذا كانت العين قد تم تأجيرها للغير خلال الفترة المتبقية من العقد ام لا ويجري احكام القانون على ما يسفر عنه تحقيقه، كما رفض طلبه قيمة استهلاك الكهرباء والمياه استنادا الى ان الطاعن هو الملزم بها لأن شقة التداعي مؤجرة مفروش</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خلافا لما هو ثابت بعقد الايجار من ان الاجرة لا تشمل مقابل استهلاك الكهرباء والمياه فانه يكون معيبا بالخطأ في تطبيق القانون ومخالفة الثابت بالأوراق.</w:t>
      </w:r>
    </w:p>
    <w:p w:rsidR="00795EF6" w:rsidRPr="00011591" w:rsidRDefault="00795EF6" w:rsidP="00795EF6">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المحكمــة</w:t>
      </w:r>
    </w:p>
    <w:p w:rsidR="00795EF6" w:rsidRPr="00011591" w:rsidRDefault="00795EF6" w:rsidP="00795EF6">
      <w:pPr>
        <w:tabs>
          <w:tab w:val="left" w:pos="1785"/>
          <w:tab w:val="left" w:pos="1852"/>
          <w:tab w:val="center" w:pos="4061"/>
        </w:tabs>
        <w:bidi/>
        <w:spacing w:after="0" w:line="360" w:lineRule="auto"/>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w:t>
      </w:r>
    </w:p>
    <w:p w:rsidR="00795EF6" w:rsidRPr="00011591" w:rsidRDefault="00795EF6" w:rsidP="00795EF6">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795EF6" w:rsidRPr="00011591" w:rsidRDefault="00795EF6" w:rsidP="00795EF6">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حيث إن الطعن استوفى أوضاعه الشكلية.</w:t>
      </w:r>
    </w:p>
    <w:p w:rsidR="00795EF6" w:rsidRPr="00011591" w:rsidRDefault="00795EF6" w:rsidP="00795EF6">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 الوقائع – وعلى ما يبين من الأوراق – تتحصل في ان الطاعن اقام على المطعون ضدهما الدعوى رقم 17399 لسنة 2012 بطريق امر الاداء الذي قدمه الى قاضي المحكمة الكبرى المدنية بطلب منع المطعون ضده الاول من السفر وبإلزامهما بالتضامن والتضامم بأن يؤديا اليه مبلغ 9175 دينارا وفوائده التأخيرية، وقال بيانا لذلك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نه بموجب عقد الايجار المؤرخ 21/3/2012 استأجر منه المطعون ضده الاول بصفته المدير المسئول عن المؤسسة المطعون ضدها الثانية الشقة المبينة باللائحة لمدة سنتين تبدأ </w:t>
      </w:r>
      <w:r w:rsidRPr="00011591">
        <w:rPr>
          <w:rFonts w:asciiTheme="majorBidi" w:hAnsiTheme="majorBidi" w:cstheme="majorBidi" w:hint="cs"/>
          <w:sz w:val="32"/>
          <w:szCs w:val="32"/>
          <w:rtl/>
          <w:lang w:bidi="ar-BH"/>
        </w:rPr>
        <w:t>من</w:t>
      </w:r>
      <w:r w:rsidRPr="00011591">
        <w:rPr>
          <w:rFonts w:asciiTheme="majorBidi" w:hAnsiTheme="majorBidi" w:cstheme="majorBidi"/>
          <w:sz w:val="32"/>
          <w:szCs w:val="32"/>
          <w:rtl/>
          <w:lang w:bidi="ar-BH"/>
        </w:rPr>
        <w:t xml:space="preserve"> 1/4/2012 وتنته</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في 31/3/2014 لقاء اجرة شهرية مقدارها 425 دينارا وقد تخلفا عن سداد الاجرة المستحقة عن شهري يوليو واغسطس 2012، وبتاريخ 6/8/2012 قاما بإنهاء العقد بإرادتهما المنفردة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موافق</w:t>
      </w:r>
      <w:r w:rsidRPr="00011591">
        <w:rPr>
          <w:rFonts w:asciiTheme="majorBidi" w:hAnsiTheme="majorBidi" w:cstheme="majorBidi" w:hint="cs"/>
          <w:sz w:val="32"/>
          <w:szCs w:val="32"/>
          <w:rtl/>
          <w:lang w:bidi="ar-BH"/>
        </w:rPr>
        <w:t>ته</w:t>
      </w:r>
      <w:r w:rsidRPr="00011591">
        <w:rPr>
          <w:rFonts w:asciiTheme="majorBidi" w:hAnsiTheme="majorBidi" w:cstheme="majorBidi"/>
          <w:sz w:val="32"/>
          <w:szCs w:val="32"/>
          <w:rtl/>
          <w:lang w:bidi="ar-BH"/>
        </w:rPr>
        <w:t xml:space="preserve"> بما يتعين الزامهما بالأجرة المستحقة عن باقي مدة العقد فضلا عن مبلغ -/250 دينارا قيمة رسوم استهلاك الكهرباء والماء عن فترة انتفاع المؤسسة بالعين المؤجرة، ولما كان المطعون ضده الاول اجنبي الجنسية ويخشى من هروبه خارج البلاد فانه يطلب منعه من السفر. رفض القاضي طلب المنع من السفر وحدد جلسة لنظر الموضوع امام المحكمة وتظلم الطاعن امامها من القرار المشار اليه ودفع المطعون ضده الثاني بعدم قبول الدعوى لرفعها على غير ذي صفة بالنسبة له لأن المؤسسة المستأجرة هي مؤسسة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في حين ان المؤسسة المملوكة له هي مؤسسة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وان المطعون ضده الاول وقع عقد الايجار بصفته الشخصية ولم يقرنه بختم المؤسسة المملوكة له. احالت المحكمة الدعوى الى التحقيق وبعد ان استمعت الى شاهد الطاعن حكمت بتأييد الامر المتظلم منه وفي موضوع الدعوى بالزام المطعون ضده الاول وحده بأن يؤدي الى الطاعن مبلغ 950 دينارا (قيمة اجرة شقة النزاع عن شهري يوليو واغسطس 2012) وفوائده التأخيرية بواقع 1% ورفضت ما عدا ذلك من طلبات. استأنف الطاعن هذا الحكم بالاستئناف رقم 3220 لسنة 2014 امام محكمة الاستئناف العليا المدنية التي حكمت بتأييد الحكم المستأنف فطعن الطاعن في هذا الحكم بطريق التمييز والمكتب الفني اودع مذكرة برأيه في الطعن.</w:t>
      </w:r>
    </w:p>
    <w:p w:rsidR="00795EF6" w:rsidRPr="00011591" w:rsidRDefault="00795EF6" w:rsidP="00795EF6">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ان الطعن اقيم على سببين ينعى الطاعن بالوجه الاول من السبب الاول على الحكم المطعون فيه الفساد في الاستدلال والقصور في التسبيب حين رفض اصدار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مر بمنع المطعون ضده الاول من السفر لما ذهب اليه من ان مبلغ الاجرة المطالب به ليس من الجسامة التي تبرر اصدار الامر، مع ان مقدار المبلغ ليس شرطا لذلك كما ان المطعون ضده الاول أجنبي الجنسية ويخشى هروبه خارج البلاد مما يعرض حقوقه للضياع وهو ما يعيبه ويستوجب نقضه.</w:t>
      </w:r>
    </w:p>
    <w:p w:rsidR="00795EF6" w:rsidRPr="00011591" w:rsidRDefault="00795EF6" w:rsidP="00795EF6">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 النعي غير مقبول، ذلك انه لما كان من المقرر طبقا لنص المادة 178 من قانون المرافعات قبل تعديلها بالقانون رقم 29 لسنة 2015 انه يشترط لمنع المدعى عليه من السفر ان يثبت طالب المنع ان فراره من الخصومة قد اصبح قريبا بأدلة سائغة تؤدي الى ذلك، وكان البين من الاوراق انها قد جاءت خلوا من </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دليل على ان المطعون ضده اعد العدة لهروبه وفراره من الخصومة فلا على الحكم المطعون فيه ان ايد الحكم الابتدائي فيما قضى به من رفض تظلم الطاعن من رفض طلبه منع المطعون ضده الاول من السفر بغض النظر عن الاساس القانوني الذي بنى قضاءه عليه مادام قد انتهى الى صحيح ومن ثم يضحى النعي غير مقبول.</w:t>
      </w:r>
    </w:p>
    <w:p w:rsidR="00795EF6" w:rsidRPr="00011591" w:rsidRDefault="00795EF6" w:rsidP="00795EF6">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 الطاعن ينعى بالوجه الثالث من السبب الاول والوجه الاول من السبب الثاني مخالفة الثابت بالأوراق حين قضى برفض الدعوى بالنسبة للمطعون ضده الثاني مع انه تمسك بدفاعه </w:t>
      </w:r>
      <w:r w:rsidRPr="00011591">
        <w:rPr>
          <w:rFonts w:asciiTheme="majorBidi" w:hAnsiTheme="majorBidi" w:cstheme="majorBidi" w:hint="cs"/>
          <w:sz w:val="32"/>
          <w:szCs w:val="32"/>
          <w:rtl/>
          <w:lang w:bidi="ar-BH"/>
        </w:rPr>
        <w:t>بأ</w:t>
      </w:r>
      <w:r w:rsidRPr="00011591">
        <w:rPr>
          <w:rFonts w:asciiTheme="majorBidi" w:hAnsiTheme="majorBidi" w:cstheme="majorBidi"/>
          <w:sz w:val="32"/>
          <w:szCs w:val="32"/>
          <w:rtl/>
          <w:lang w:bidi="ar-BH"/>
        </w:rPr>
        <w:t xml:space="preserve">نه هو المستأجر الحقيقي والفعلي للعين محل النزاع ويستغلها كمقر لمؤسسته وكان يسدد الاجرة بشخصه في بعض الاحيان وقد ثبت ذلك بأقوال شاهده بالتحقيقات التي اجرتها محكمة اول درجة ومن الفواتير الصادرة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 هيئة الكهرباء ومن الخطاب الموجه له من المطعون ضده الاول والمحرر على اوراق المؤسسة </w:t>
      </w:r>
      <w:r w:rsidRPr="00011591">
        <w:rPr>
          <w:rFonts w:asciiTheme="majorBidi" w:hAnsiTheme="majorBidi" w:cstheme="majorBidi" w:hint="cs"/>
          <w:sz w:val="32"/>
          <w:szCs w:val="32"/>
          <w:rtl/>
          <w:lang w:bidi="ar-BH"/>
        </w:rPr>
        <w:t>ال</w:t>
      </w:r>
      <w:r w:rsidRPr="00011591">
        <w:rPr>
          <w:rFonts w:asciiTheme="majorBidi" w:hAnsiTheme="majorBidi" w:cstheme="majorBidi"/>
          <w:sz w:val="32"/>
          <w:szCs w:val="32"/>
          <w:rtl/>
          <w:lang w:bidi="ar-BH"/>
        </w:rPr>
        <w:t>سالفة البيان يخطره فيه بإنهاء عقد الايجار، واذ التفت الحكم المطعون فيه عن الرد على هذه الادلة والمستندات الجوهرية وقضى برفض الدعوى بالنسبة للمطعون ضده الثاني على سند من خلو الاوراق من اي دليل على انه مستأجر شقة النزاع فانه يكون معيبا بما يستوجب نقضه.</w:t>
      </w:r>
    </w:p>
    <w:p w:rsidR="00795EF6" w:rsidRPr="00011591" w:rsidRDefault="00795EF6" w:rsidP="00795EF6">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 النعي في محله، ذلك ان استناد الخصم في دفاع قد يترتب على تحقيقه تغيير وجه الرأي في الدعوى الى اوراق او مستندات او وقائع لها دلالة معينة في شأن ثبوت هذا الدفاع او نفيه يوجب على محكمة الموضوع ان تعرض لتلك الاوراق والمستندات والوقائع لتقول رأيها في شأن دلالتها ايجابا او سلبا والا كان حكمها قاصرا. لما كان ذلك وكان الطاعن قد تمسك بدفاعه امام محكمة الموضوع بأن المطعون ضده الثاني هو المستأجر الحقيقي والفعلي لشقة النزاع وبأنها كانت مقرا لمؤسسته وانه المسئول عن سداد اجرتها وهو ما اكده شاهده امام محكمة اول درجة، كما قدم تدليلا على ذلك صورة عقد الايجار ثبت به ان شركة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هي المستأجر لشقة النزاع ومستخرجا من السجل التجاري ثابتا بالصفحة الثانية منه انه صاحب السجل التجاري وصورا لفواتير 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ن هيئة الكهرباء وثابت</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منها ان هذه المؤسسة هي المنتفعة للشقة وخطابا موجها من المطعون ضده الاول محررا على مطبوعاتها يخطر به الطاعن بإنهاء عقد الايجار واذ اطرح الحكم المطعون هذا الدفاع الجوهري والمستندات المؤيدة له على سند من خلو الاوراق من دليل على وجود رابطة بين المطعون ضده الاول الموقع عقد الايجار بصفته مدير تلك المؤسسة والمطعون ضده الثاني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ان يعنى ببحث تلك المستندات ويقول كلمته بشأن دلالتها فانه يكون معيبا بما يوجب نقضه.</w:t>
      </w:r>
    </w:p>
    <w:p w:rsidR="00795EF6" w:rsidRPr="00011591" w:rsidRDefault="00795EF6" w:rsidP="00795EF6">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 حاصل ما ينعاه الطاعن بالوجهين الثانيين من سببي الطعن على الحكم المطعون فيه مخالفة الثابت بالأوراق والفساد في الاستدلال والقصور في التسبيب حين رفض القضاء له بأجرة باقي مدة العقد لما ذهب اليه من خلو عقد الايجار من النص على ذلك </w:t>
      </w:r>
      <w:r w:rsidRPr="00011591">
        <w:rPr>
          <w:rFonts w:asciiTheme="majorBidi" w:hAnsiTheme="majorBidi" w:cstheme="majorBidi" w:hint="cs"/>
          <w:sz w:val="32"/>
          <w:szCs w:val="32"/>
          <w:rtl/>
          <w:lang w:bidi="ar-BH"/>
        </w:rPr>
        <w:t xml:space="preserve">على </w:t>
      </w:r>
      <w:r w:rsidRPr="00011591">
        <w:rPr>
          <w:rFonts w:asciiTheme="majorBidi" w:hAnsiTheme="majorBidi" w:cstheme="majorBidi"/>
          <w:sz w:val="32"/>
          <w:szCs w:val="32"/>
          <w:rtl/>
          <w:lang w:bidi="ar-BH"/>
        </w:rPr>
        <w:t>الرغم من انه عقد محدد المدة ولا يجوز للمستأجر انهاؤه بإرادته المنفردة قبل انقضاء مدته والا التزم بباقي اجرة المدة المتفق عليها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كما رفض الحكم القضاء له بقيمة استهلاك الكهرباء والماء على سند من ان الطاعن هو الملزم بسدادها لأن العين مؤجرة مفروشة في حين ان المتفق عليه في عقد الايجار ان الاجرة لا تشمل استهلاك الكهرباء والمياه مما يعيبه ويستوجب نقضه.</w:t>
      </w:r>
    </w:p>
    <w:p w:rsidR="00C0724F" w:rsidRDefault="00795EF6" w:rsidP="00795EF6">
      <w:r w:rsidRPr="00011591">
        <w:rPr>
          <w:rFonts w:asciiTheme="majorBidi" w:hAnsiTheme="majorBidi" w:cstheme="majorBidi"/>
          <w:sz w:val="32"/>
          <w:szCs w:val="32"/>
          <w:rtl/>
          <w:lang w:bidi="ar-BH"/>
        </w:rPr>
        <w:t xml:space="preserve">وحيث ان النعي في محله، ذلك أنه طبقا لنص المادة 128 من القانون المدني ان العقد شريعة المتعاقدين فلا يجوز لأحدهما ان يستقل بنقضه او تعديل احكامه الا في حدود ما يسمح به الاتفاق او يقضي به القانون، فان المستأجر يلتزم بأداء الاجرة المتفق عليها طوال المدة المحددة لعقد الايجار سواء انتفع بالمأجور ام لم ينتفع مادام المؤجر قد مكنه من الانتفاع به ولا يحق له انهاء الايجار بإرادته المنفردة قبل انقضاء مدته الا بعذر يمتنع به موجب العقد والا كان ملتزما بتعويض المؤجر عما لحقه من ضرر بسبب ذلك. لما كان ذلك وكان الثابت بالأوراق ان عقد الايجار محل التداعي مدته سنتان تبدأ </w:t>
      </w:r>
      <w:r w:rsidRPr="00011591">
        <w:rPr>
          <w:rFonts w:asciiTheme="majorBidi" w:hAnsiTheme="majorBidi" w:cstheme="majorBidi" w:hint="cs"/>
          <w:sz w:val="32"/>
          <w:szCs w:val="32"/>
          <w:rtl/>
          <w:lang w:bidi="ar-BH"/>
        </w:rPr>
        <w:t>من</w:t>
      </w:r>
      <w:r w:rsidRPr="00011591">
        <w:rPr>
          <w:rFonts w:asciiTheme="majorBidi" w:hAnsiTheme="majorBidi" w:cstheme="majorBidi"/>
          <w:sz w:val="32"/>
          <w:szCs w:val="32"/>
          <w:rtl/>
          <w:lang w:bidi="ar-BH"/>
        </w:rPr>
        <w:t xml:space="preserve"> 1/4/2012 وتنتهي في 31/3/2014 فلا يجوز للمستأجر انهاء الايجار بإرادته المنفردة قبل انقضاء مدته الا بعذر مقبول، واذ ذهب الحكم المطعون فيه الى خلاف ذلك وقضى برفض طلب الطاعن الاجرة عن باقي مدة العقد على ما ذهب اليه من عدم الاتفاق على ذلك و</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ان يسبغ على هذا الطلب تكييفه ووصفه القانوني</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ن الصحيحين ويتحقق مما اذا كان ترك المستأجر للعين قبل انقضاء العقد كان بعذر يمتنع به استمرار العقد من عدمه وما اذا كانت العين قد تم تأجيرها للغير خلال الفترة المتبقية من العقد ام لا ويجري احكام القانون على ما يسفر عنه تحقيقه، كما رفض طلبه قيمة استهلاك الكهرباء والمياه استنادا الى ان الطاعن هو الملزم بها لأن شقة التداعي مؤجرة مفروش</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خلافا لما هو ثابت بعقد الايجار من ان الاجرة لا تشمل مقابل استهلاك الكهرباء والمياه فانه يكون معيبا بالخطأ في تطبيق القانون ومخالفة الثابت بالأوراق مما يعيبه ويوجب نقضه.</w:t>
      </w: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7B90"/>
    <w:multiLevelType w:val="hybridMultilevel"/>
    <w:tmpl w:val="31F4D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36"/>
    <w:rsid w:val="0003272B"/>
    <w:rsid w:val="00795EF6"/>
    <w:rsid w:val="00AF1636"/>
    <w:rsid w:val="00C07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E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5EF6"/>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795EF6"/>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E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5EF6"/>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795EF6"/>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1833</Words>
  <Characters>10451</Characters>
  <Application>Microsoft Office Word</Application>
  <DocSecurity>0</DocSecurity>
  <Lines>87</Lines>
  <Paragraphs>24</Paragraphs>
  <ScaleCrop>false</ScaleCrop>
  <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2020-04-22T10:26:00Z</dcterms:created>
  <dcterms:modified xsi:type="dcterms:W3CDTF">2020-04-22T10:26:00Z</dcterms:modified>
</cp:coreProperties>
</file>