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1CE" w:rsidRPr="00E060C7" w:rsidRDefault="001E01CE" w:rsidP="001E01CE">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26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1E01CE" w:rsidRPr="00E060C7" w:rsidRDefault="001E01CE" w:rsidP="001E01CE">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عبدالله بن حسن البوعينين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علي يوسف منصور ، معصومة عبدالرسول عيسى، نادر السيد علي عبدالمطلب ، عبدالله يعقوب عبدالرحمن </w:t>
      </w:r>
    </w:p>
    <w:p w:rsidR="001E01CE" w:rsidRPr="00E060C7" w:rsidRDefault="001E01CE" w:rsidP="001E01CE">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E01CE" w:rsidRPr="00E060C7" w:rsidRDefault="001E01CE" w:rsidP="001E01CE">
      <w:pPr>
        <w:tabs>
          <w:tab w:val="center" w:pos="3817"/>
          <w:tab w:val="left" w:pos="5319"/>
        </w:tabs>
        <w:bidi/>
        <w:spacing w:after="0" w:line="360" w:lineRule="auto"/>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p>
    <w:p w:rsidR="001E01CE" w:rsidRPr="00E060C7" w:rsidRDefault="001E01CE" w:rsidP="001E01CE">
      <w:pPr>
        <w:tabs>
          <w:tab w:val="center" w:pos="3817"/>
          <w:tab w:val="left" w:pos="5319"/>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134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1E01CE" w:rsidRPr="00E060C7" w:rsidRDefault="001E01CE" w:rsidP="001E01CE">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w:t>
      </w:r>
      <w:r w:rsidRPr="00E060C7">
        <w:rPr>
          <w:rFonts w:asciiTheme="majorBidi" w:hAnsiTheme="majorBidi" w:cstheme="majorBidi"/>
          <w:b/>
          <w:bCs/>
          <w:sz w:val="32"/>
          <w:szCs w:val="32"/>
          <w:lang w:bidi="ar-BH"/>
        </w:rPr>
        <w:t>973</w:t>
      </w:r>
      <w:r w:rsidRPr="00E060C7">
        <w:rPr>
          <w:rFonts w:asciiTheme="majorBidi" w:hAnsiTheme="majorBidi" w:cstheme="majorBidi"/>
          <w:b/>
          <w:bCs/>
          <w:sz w:val="32"/>
          <w:szCs w:val="32"/>
          <w:rtl/>
          <w:lang w:bidi="ar-BH"/>
        </w:rPr>
        <w:t xml:space="preserve"> لسنة 2015 </w:t>
      </w:r>
    </w:p>
    <w:p w:rsidR="001E01CE" w:rsidRPr="00E060C7" w:rsidRDefault="001E01CE" w:rsidP="001E01CE">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(1-4) استئناف . تمييز . حكم " حجية الأحكام " " الطعن فى الأحكام ". عمل . قضاء . قوة الأمر المقضى .                </w:t>
      </w:r>
    </w:p>
    <w:p w:rsidR="001E01CE" w:rsidRPr="00E060C7" w:rsidRDefault="001E01CE" w:rsidP="001E01CE">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الطعن بالتمييز . شروط قبوله أن يكون الطاعن طرفا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الخصومة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صدر فيها الحكم المطعون فيه وأن يكون</w:t>
      </w:r>
      <w:r w:rsidRPr="00E060C7">
        <w:rPr>
          <w:rFonts w:asciiTheme="majorBidi" w:hAnsiTheme="majorBidi" w:cstheme="majorBidi" w:hint="cs"/>
          <w:sz w:val="32"/>
          <w:szCs w:val="32"/>
          <w:rtl/>
          <w:lang w:bidi="ar-BH"/>
        </w:rPr>
        <w:t xml:space="preserve"> قد</w:t>
      </w:r>
      <w:r w:rsidRPr="00E060C7">
        <w:rPr>
          <w:rFonts w:asciiTheme="majorBidi" w:hAnsiTheme="majorBidi" w:cstheme="majorBidi"/>
          <w:sz w:val="32"/>
          <w:szCs w:val="32"/>
          <w:rtl/>
          <w:lang w:bidi="ar-BH"/>
        </w:rPr>
        <w:t xml:space="preserve"> 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عليه </w:t>
      </w:r>
      <w:r w:rsidRPr="00E060C7">
        <w:rPr>
          <w:rFonts w:asciiTheme="majorBidi" w:hAnsiTheme="majorBidi" w:cstheme="majorBidi" w:hint="cs"/>
          <w:sz w:val="32"/>
          <w:szCs w:val="32"/>
          <w:rtl/>
          <w:lang w:bidi="ar-BH"/>
        </w:rPr>
        <w:t>ب</w:t>
      </w:r>
      <w:r w:rsidRPr="00E060C7">
        <w:rPr>
          <w:rFonts w:asciiTheme="majorBidi" w:hAnsiTheme="majorBidi" w:cstheme="majorBidi"/>
          <w:sz w:val="32"/>
          <w:szCs w:val="32"/>
          <w:rtl/>
          <w:lang w:bidi="ar-BH"/>
        </w:rPr>
        <w:t xml:space="preserve">شئ .   </w:t>
      </w:r>
    </w:p>
    <w:p w:rsidR="001E01CE" w:rsidRPr="00E060C7" w:rsidRDefault="001E01CE" w:rsidP="001E01CE">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(2) ضم الاستئنافين لا يترتب عليه دمجهما بل تبقى لكل منهما ذاته المستقلة .    </w:t>
      </w:r>
    </w:p>
    <w:p w:rsidR="001E01CE" w:rsidRPr="00E060C7" w:rsidRDefault="001E01CE" w:rsidP="001E01CE">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(3) الأحكام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تحوز قوة الأمر المقض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وتكون حج</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على أطرافها فيما فصلت فيه من حقوق . ماهيتها . ه</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الأحكام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تصدر </w:t>
      </w:r>
      <w:r w:rsidRPr="00E060C7">
        <w:rPr>
          <w:rFonts w:asciiTheme="majorBidi" w:hAnsiTheme="majorBidi" w:cstheme="majorBidi" w:hint="cs"/>
          <w:sz w:val="32"/>
          <w:szCs w:val="32"/>
          <w:rtl/>
          <w:lang w:bidi="ar-BH"/>
        </w:rPr>
        <w:t>ع</w:t>
      </w:r>
      <w:r w:rsidRPr="00E060C7">
        <w:rPr>
          <w:rFonts w:asciiTheme="majorBidi" w:hAnsiTheme="majorBidi" w:cstheme="majorBidi"/>
          <w:sz w:val="32"/>
          <w:szCs w:val="32"/>
          <w:rtl/>
          <w:lang w:bidi="ar-BH"/>
        </w:rPr>
        <w:t xml:space="preserve">ن جهة قضائية مستقلة .    </w:t>
      </w:r>
    </w:p>
    <w:p w:rsidR="001E01CE" w:rsidRPr="00E060C7" w:rsidRDefault="001E01CE" w:rsidP="001E01CE">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(4) ثبوت أن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تفاق تسوية النزاع العمال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الجماع</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تم برعاية وزارة العمل ووساطتها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ظل أحكام قانون العمل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القطاع الأهل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رقم 23 لسنة 1976 </w:t>
      </w:r>
      <w:r w:rsidRPr="00E060C7">
        <w:rPr>
          <w:rFonts w:asciiTheme="majorBidi" w:hAnsiTheme="majorBidi" w:cstheme="majorBidi"/>
          <w:sz w:val="32"/>
          <w:szCs w:val="32"/>
          <w:rtl/>
          <w:lang w:bidi="ar-BH"/>
        </w:rPr>
        <w:softHyphen/>
      </w:r>
      <w:r w:rsidRPr="00E060C7">
        <w:rPr>
          <w:rFonts w:asciiTheme="majorBidi" w:hAnsiTheme="majorBidi" w:cstheme="majorBidi"/>
          <w:sz w:val="32"/>
          <w:szCs w:val="32"/>
          <w:rtl/>
          <w:lang w:bidi="ar-BH"/>
        </w:rPr>
        <w:softHyphen/>
      </w:r>
      <w:r w:rsidRPr="00E060C7">
        <w:rPr>
          <w:rFonts w:asciiTheme="majorBidi" w:hAnsiTheme="majorBidi" w:cstheme="majorBidi" w:hint="cs"/>
          <w:sz w:val="32"/>
          <w:szCs w:val="32"/>
          <w:rtl/>
          <w:lang w:bidi="ar-BH"/>
        </w:rPr>
        <w:t>ـ</w:t>
      </w:r>
      <w:r w:rsidRPr="00E060C7">
        <w:rPr>
          <w:rFonts w:asciiTheme="majorBidi" w:hAnsiTheme="majorBidi" w:cstheme="majorBidi"/>
          <w:sz w:val="32"/>
          <w:szCs w:val="32"/>
          <w:rtl/>
          <w:lang w:bidi="ar-BH"/>
        </w:rPr>
        <w:t xml:space="preserve"> م 135 منه . المحضر الذ</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يحرره الوسيط الذ</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يعينه وزير العمل بما تم الاتفاق عليه من تسوية النزاع كليا أو جزئيا . أثره حاسم للنزاع وملزم 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طرافه يحاجون به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أ</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نزاع ينشأ بينهم . عدم اعتباره حكما قضائيا له قوة الأمر المقض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تحول دون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عادة نظر النزاع . قضاء الحكم المطعون فيه بعدم جواز نظر النزاع العمال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لسابقة الفصل فيه باتفاق التسوية خطأ فى تطبيق القانون .      </w:t>
      </w:r>
    </w:p>
    <w:p w:rsidR="001E01CE" w:rsidRPr="00E060C7" w:rsidRDefault="001E01CE" w:rsidP="001E01CE">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1E01CE" w:rsidRPr="00E060C7" w:rsidRDefault="001E01CE" w:rsidP="001E01CE">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 xml:space="preserve">1- يشترط لقبول الطعن أن يكون الطاعن طرفا في الخصومة التي صدر فيها الحكم المطعون فيه وأن يكون هذا الحكم قد قضى عليه بشيء. </w:t>
      </w:r>
    </w:p>
    <w:p w:rsidR="001E01CE" w:rsidRPr="00E060C7" w:rsidRDefault="001E01CE" w:rsidP="001E01CE">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2- من المقرر أن ضم الاستئنافين لا يترتب عليه دمجهما بل تبقى لكل منهما ذاته المستقلة .</w:t>
      </w:r>
    </w:p>
    <w:p w:rsidR="001E01CE" w:rsidRPr="00E060C7" w:rsidRDefault="001E01CE" w:rsidP="001E01CE">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3- من المقرر وفقا لنص المادة 99 من قانون الإثبات أن الأحكام التي تحوز قوة الأمر المقضي وتكون حج</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على أطرافها فيما فصلت فيه من الحقوق تحول دون عودتهم إلى المنازعة في شأنها وتقضي بها المحكمة من تلقاء نفسها هي الأحكام القضائية التي تصدر </w:t>
      </w:r>
      <w:r w:rsidRPr="00E060C7">
        <w:rPr>
          <w:rFonts w:asciiTheme="majorBidi" w:hAnsiTheme="majorBidi" w:cstheme="majorBidi" w:hint="cs"/>
          <w:sz w:val="32"/>
          <w:szCs w:val="32"/>
          <w:rtl/>
          <w:lang w:bidi="ar-BH"/>
        </w:rPr>
        <w:t>ع</w:t>
      </w:r>
      <w:r w:rsidRPr="00E060C7">
        <w:rPr>
          <w:rFonts w:asciiTheme="majorBidi" w:hAnsiTheme="majorBidi" w:cstheme="majorBidi"/>
          <w:sz w:val="32"/>
          <w:szCs w:val="32"/>
          <w:rtl/>
          <w:lang w:bidi="ar-BH"/>
        </w:rPr>
        <w:t xml:space="preserve">ن جهة قضائية مختصة . </w:t>
      </w:r>
    </w:p>
    <w:p w:rsidR="001E01CE" w:rsidRPr="00E060C7" w:rsidRDefault="001E01CE" w:rsidP="001E01CE">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4- إذ</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كان اتفاق تسوية النزاع الجماعي بشأن بدل ساعات العمل الإضافية لسائقي النقل الثقيل العاملين لدى المطعون ضدها قد تم بتاريخ 27/8/2009 برعاية وزارة العمل ووساطتها في ظل أحكام قانون العمل في القطاع الأهلي رقم 23 لسنة 1976 ووفقا لنص المادة 135 من هذا القانون أنه إذا تمكن الوسيط الذي يعينه وزير العمل من تسوية النزاع كليا أو جزئيا أثبت ما يتم الاتفاق عليه في محضر يوقعه ممثلا الطرفين تكون له قوة الأحكام النهائية بعد وضع الصيغة عليه من قسم كتاب المحكمة الكبرى المدنية فإن الوسيط لا يقوم بعمل قضائي ولا يعتبر المحضر الذي</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يحرره بما تم الاتفاق عليه بين الطرفين حكما قضائيا صادرا </w:t>
      </w:r>
      <w:r w:rsidRPr="00E060C7">
        <w:rPr>
          <w:rFonts w:asciiTheme="majorBidi" w:hAnsiTheme="majorBidi" w:cstheme="majorBidi" w:hint="cs"/>
          <w:sz w:val="32"/>
          <w:szCs w:val="32"/>
          <w:rtl/>
          <w:lang w:bidi="ar-BH"/>
        </w:rPr>
        <w:t>ع</w:t>
      </w:r>
      <w:r w:rsidRPr="00E060C7">
        <w:rPr>
          <w:rFonts w:asciiTheme="majorBidi" w:hAnsiTheme="majorBidi" w:cstheme="majorBidi"/>
          <w:sz w:val="32"/>
          <w:szCs w:val="32"/>
          <w:rtl/>
          <w:lang w:bidi="ar-BH"/>
        </w:rPr>
        <w:t>ن جهة قضائية، ولا يخلع عن هذا الاتفاق صفته التعاقدية ولا يغير من ذلك شيئا ما نص عليه القانون أن يكون لهذا المحضر قوة الأحكام النهائية بعد وضع الصيغة التنفيذية عليه فإنه لا يعدو أن يكون تطبيقا لنص المادة 244/2 من قانون المرافعات بأنه يجوز التنفيذ بموجب المحررات الموثقة ومحاضر الصلح التي تصدق عليها المحاكم والأوراق الأخرى التي يعطيها القانون هذه الصفة، ومفاده أن يكون الاتفاق حاسما للنزاع ملزما لأطرافه يحاجون به في أي نزاع ينشأ بينهم، ولكنه لا يجعل من الاتفاق حكما قضائيا له قوة الأمر المقضي تحول دون نظر هذا النزاع لسابقة الفصل فيه، وإذ خالف الحكم المطعون فيه هذا النظر وأيد الحكم الابتدائي فيما قضى بعدم جواز طلب بدل ساعات العمل الإضافية لسابقة الفصل فيه باتفاق التسوية ف</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نه يكون 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خطأ في تطبيق القانون فيتعين نقضه.</w:t>
      </w:r>
    </w:p>
    <w:p w:rsidR="001E01CE" w:rsidRPr="00E060C7" w:rsidRDefault="001E01CE" w:rsidP="001E01CE">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1E01CE" w:rsidRPr="00E060C7" w:rsidRDefault="001E01CE" w:rsidP="001E01CE">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1E01CE" w:rsidRPr="00E060C7" w:rsidRDefault="001E01CE" w:rsidP="001E01CE">
      <w:pPr>
        <w:tabs>
          <w:tab w:val="right" w:pos="69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بعد الاطلاع على الأوراق، وسماع التقرير الذي تلاه القاضي المقرر، والمداولة.</w:t>
      </w:r>
    </w:p>
    <w:p w:rsidR="001E01CE" w:rsidRPr="00E060C7" w:rsidRDefault="001E01CE" w:rsidP="001E01CE">
      <w:pPr>
        <w:tabs>
          <w:tab w:val="right" w:pos="69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حيث إن الوقائع – على ما يبين من الأوراق – تتحصل في أن الطاعنين الثلاثة وسبعة آخرين عرضوا نزاعهم العمالي مع المطعون ضدها على وزارة العمل بالطلب المؤرخ 5/10/2005 بطلب إلزامها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بأن تؤدي إليهم ما يستحقونه من أجر ساعات العمل</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الإضافية قائلين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نهم يعملون لديها بعقود عمل فردية غير محددة المدة بوظيفة سائق نقل بالأجر المبين بعقد كل منهم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نهم يقومون بأداء ساعات عمل إضافية لم يستوفوا أجرها، وإذ لم تتم تسوية النزاع وديا أحيل إلى المحكمة الصغرى المدنية بالدعوى رقم 7534/2005، وقدم كل من المدعين كشفا مستقلا بطلباته تضمن المطالبة ببدل ساعات العمل الإضافية التي أداها منذ بدء خدمته والتعويض عن سدادها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فضلا عن علاو</w:t>
      </w:r>
      <w:r w:rsidRPr="00E060C7">
        <w:rPr>
          <w:rFonts w:asciiTheme="majorBidi" w:hAnsiTheme="majorBidi" w:cstheme="majorBidi" w:hint="cs"/>
          <w:sz w:val="32"/>
          <w:szCs w:val="32"/>
          <w:rtl/>
          <w:lang w:bidi="ar-BH"/>
        </w:rPr>
        <w:t>تي</w:t>
      </w:r>
      <w:r w:rsidRPr="00E060C7">
        <w:rPr>
          <w:rFonts w:asciiTheme="majorBidi" w:hAnsiTheme="majorBidi" w:cstheme="majorBidi"/>
          <w:sz w:val="32"/>
          <w:szCs w:val="32"/>
          <w:rtl/>
          <w:lang w:bidi="ar-BH"/>
        </w:rPr>
        <w:t xml:space="preserve"> المواصلات والسكن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ندبت المحكمة خبيرا لبيان عدد ساعات العمل الإضافية التي أداها المدعون ومستحقاتهم عنها، </w:t>
      </w:r>
      <w:r w:rsidRPr="00E060C7">
        <w:rPr>
          <w:rFonts w:asciiTheme="majorBidi" w:hAnsiTheme="majorBidi" w:cstheme="majorBidi" w:hint="cs"/>
          <w:sz w:val="32"/>
          <w:szCs w:val="32"/>
          <w:rtl/>
          <w:lang w:bidi="ar-BH"/>
        </w:rPr>
        <w:t>ف</w:t>
      </w:r>
      <w:r w:rsidRPr="00E060C7">
        <w:rPr>
          <w:rFonts w:asciiTheme="majorBidi" w:hAnsiTheme="majorBidi" w:cstheme="majorBidi"/>
          <w:sz w:val="32"/>
          <w:szCs w:val="32"/>
          <w:rtl/>
          <w:lang w:bidi="ar-BH"/>
        </w:rPr>
        <w:t>تمسكت المدعى عليها بعدم اختصاص المحكمة بنظر الدعوى لتعلقها بنزاع جماعي بينها وبين المدعين وغيرهم من السائقين العاملين لديها، وأنها قدمت إلى وزارة العمل طلبا لحسمه عن طريق التوفيق والتحكيم وطلبت العدول عن ندب الخبير وإحالة النزاع إلى وزارة العمل وبعد أن قدم الخبير تقريره تنازل المدعون جميعا عن الدعوى عدا الطاعنين الثلاثة بمحررات موثقة أقروا فيها باستيفائهم مستحقاتهم من بدل ساعات العمل الإضافية وفقا للتسوية التي تمت بتاريخ 27/8/2009 بين المدعى عليها وسائقي النقل الثقيل ممثلين بنقابتهم</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 كما أقام الطاعنان الأول والثاني على المدعى عليها الدعوى رقم 4895/2009 يطالبانها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فضلا عن أجر ساعات العمل الإضافية</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بما يستحقانه من علاوة الطعام التي قامت بإلغائها وعلاوة السفر المعمول بها لدى الشركات المماثلة وعلاوة غلاء المعيشة أسوة بغيرهم</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من السائقين والعاملين بالشركة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قررت المحكمة ضم الدعويين، وبلائحة تعديل الطلبات المؤرخة 1/2/2010 قرر الطاعنون أن المدعى عليها فصلتهم بتاريخ 13/8/2009 وطلبوا إلزامها بأن تؤدي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 xml:space="preserve">ى </w:t>
      </w:r>
      <w:r w:rsidRPr="00E060C7">
        <w:rPr>
          <w:rFonts w:asciiTheme="majorBidi" w:hAnsiTheme="majorBidi" w:cstheme="majorBidi"/>
          <w:sz w:val="32"/>
          <w:szCs w:val="32"/>
          <w:rtl/>
          <w:lang w:bidi="ar-BH"/>
        </w:rPr>
        <w:t>كل منهم مستحقه من أجر ساعات العمل الإضافية من بداية عمله حتى تاريخ فصله والتعويض عن التأخير في سداده بمبلغ 7000 دينار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فضلا عن باقي طلباتهم، والتعويض عن الفصل التعسفي بمقدار عشرين ألف دينار، وبتاريخ 30/3/2010 حكمت المحكمة أولا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 في الشق المتعلق ببدل ساعات العمل الإضافية وعلاوة المواصلات بعدم اختصاصها بنظره، ثانيا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 بانتهاء الدعوى بالنسبة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 xml:space="preserve">ى </w:t>
      </w:r>
      <w:r w:rsidRPr="00E060C7">
        <w:rPr>
          <w:rFonts w:asciiTheme="majorBidi" w:hAnsiTheme="majorBidi" w:cstheme="majorBidi"/>
          <w:sz w:val="32"/>
          <w:szCs w:val="32"/>
          <w:rtl/>
          <w:lang w:bidi="ar-BH"/>
        </w:rPr>
        <w:t>باقي المدعين عدا الأول والثالث والعاشر "الطاعنين"، ثالثا</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 بإحالة الدعوى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لتحقيق لتثبت المدعى عليها مبررات فصل هؤلاء وسدادها ومستحق الطاعن الأول من علاوة المواصلات. استأنف الطاعنون الحكم فيما قضى بعدم اختصاص المحكمة بنظر الشق المتعلق ببدل ساعات العمل الإضافية وعلاوة المواصلات بالاستئناف رقم 1052/2010</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وبتاريخ 30/10/2011 حكمت المحكمة الكبرى الاستئنافية بعدم جواز الاستئناف، فطعن الطاعنون في هذا الحكم بطريق التمييز بالطعن رقم 257/2011 الذي 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فيه بنقض الحكم وفي موضوع الاستئناف بإلغاء الحكم المستأنف فيما قضى بعدم الاختصاص بنظر طلبي بدل ساعات العمل الإضافية وعلاوة المواصلات وبإعادة القضية إلى محكمة الدرجة الأولى للفصل في هذين الطلبين، وفي مرافعتهم الختامية </w:t>
      </w:r>
      <w:r w:rsidRPr="00E060C7">
        <w:rPr>
          <w:rFonts w:asciiTheme="majorBidi" w:hAnsiTheme="majorBidi" w:cstheme="majorBidi" w:hint="cs"/>
          <w:sz w:val="32"/>
          <w:szCs w:val="32"/>
          <w:rtl/>
          <w:lang w:bidi="ar-BH"/>
        </w:rPr>
        <w:t>ب</w:t>
      </w:r>
      <w:r w:rsidRPr="00E060C7">
        <w:rPr>
          <w:rFonts w:asciiTheme="majorBidi" w:hAnsiTheme="majorBidi" w:cstheme="majorBidi"/>
          <w:sz w:val="32"/>
          <w:szCs w:val="32"/>
          <w:rtl/>
          <w:lang w:bidi="ar-BH"/>
        </w:rPr>
        <w:t xml:space="preserve">المذكرة المقدمة بجلسة 11/9/2014 قرر الطاعنون أن اتفاق التسوية الذي تم بين نقابتهم والمدعى عليها يعد إقرارا منها بأحقيتهم </w:t>
      </w:r>
      <w:r w:rsidRPr="00E060C7">
        <w:rPr>
          <w:rFonts w:asciiTheme="majorBidi" w:hAnsiTheme="majorBidi" w:cstheme="majorBidi" w:hint="cs"/>
          <w:sz w:val="32"/>
          <w:szCs w:val="32"/>
          <w:rtl/>
          <w:lang w:bidi="ar-BH"/>
        </w:rPr>
        <w:t xml:space="preserve">في </w:t>
      </w:r>
      <w:r w:rsidRPr="00E060C7">
        <w:rPr>
          <w:rFonts w:asciiTheme="majorBidi" w:hAnsiTheme="majorBidi" w:cstheme="majorBidi"/>
          <w:sz w:val="32"/>
          <w:szCs w:val="32"/>
          <w:rtl/>
          <w:lang w:bidi="ar-BH"/>
        </w:rPr>
        <w:t xml:space="preserve">بدل ساعات العمل الإضافية إلا أن ما تم الاتفاق عليه من التزامها بأن تدفع كل عامل مبلغ 2000 دينار عن كل سنة خدمة مضافا إليه 15% مقابل أتعاب المحاماة لا يتفق مع حقوقهم التي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ثبتها تقرير الخبير فإنهم يتمسكون بما ورد </w:t>
      </w:r>
      <w:r w:rsidRPr="00E060C7">
        <w:rPr>
          <w:rFonts w:asciiTheme="majorBidi" w:hAnsiTheme="majorBidi" w:cstheme="majorBidi" w:hint="cs"/>
          <w:sz w:val="32"/>
          <w:szCs w:val="32"/>
          <w:rtl/>
          <w:lang w:bidi="ar-BH"/>
        </w:rPr>
        <w:t xml:space="preserve">في </w:t>
      </w:r>
      <w:r w:rsidRPr="00E060C7">
        <w:rPr>
          <w:rFonts w:asciiTheme="majorBidi" w:hAnsiTheme="majorBidi" w:cstheme="majorBidi"/>
          <w:sz w:val="32"/>
          <w:szCs w:val="32"/>
          <w:rtl/>
          <w:lang w:bidi="ar-BH"/>
        </w:rPr>
        <w:t>هذا التقرير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وانتهوا إلى طلب إلزام المدعى عليها بأن تؤدي إلى كل منهم مستحقه من بدل ساعات العمل الإضافية للأول مبلغ 590/17152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وللثاني مبلغ 960/29549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للثالث مبلغ 592/53617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والفوائد التأخيرية بواقع 12% من تاريخ الاستحقاق حتى تمام</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السداد وإلزامها بعلاو</w:t>
      </w:r>
      <w:r w:rsidRPr="00E060C7">
        <w:rPr>
          <w:rFonts w:asciiTheme="majorBidi" w:hAnsiTheme="majorBidi" w:cstheme="majorBidi" w:hint="cs"/>
          <w:sz w:val="32"/>
          <w:szCs w:val="32"/>
          <w:rtl/>
          <w:lang w:bidi="ar-BH"/>
        </w:rPr>
        <w:t>تي</w:t>
      </w:r>
      <w:r w:rsidRPr="00E060C7">
        <w:rPr>
          <w:rFonts w:asciiTheme="majorBidi" w:hAnsiTheme="majorBidi" w:cstheme="majorBidi"/>
          <w:sz w:val="32"/>
          <w:szCs w:val="32"/>
          <w:rtl/>
          <w:lang w:bidi="ar-BH"/>
        </w:rPr>
        <w:t xml:space="preserve"> المواصلات والسكن من بداية عملهم حتى نهايته، وبتاريخ 28/10/2014 حكمت المحكمة بإلزام المدعى عليها بأن تؤدي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 xml:space="preserve">ى </w:t>
      </w:r>
      <w:r w:rsidRPr="00E060C7">
        <w:rPr>
          <w:rFonts w:asciiTheme="majorBidi" w:hAnsiTheme="majorBidi" w:cstheme="majorBidi"/>
          <w:sz w:val="32"/>
          <w:szCs w:val="32"/>
          <w:rtl/>
          <w:lang w:bidi="ar-BH"/>
        </w:rPr>
        <w:t>كل من الطاعنين مبلغ 2000 دينار تعويضا عن فصله التعسفي وبعدم جواز نظر طلبي بدل ساعات العمل الإضافية وفوائده التأخيرية لسابقة الفصل فيها باتفاق التسوية رقم 11 لسنة 2009 ورفضت ما عدا ذلك من الطلبات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استأنف الطاعن الأول هذا الحكم بالاستئناف رقم 3864/2014 بطلب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لغائه فيما قضى بعدم جواز نظر طلبي بدل ساعات العمل الإضافية ورفض باقي طلباته والحكم له بهذه الطلبات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وفي مذكرة مرافعته الختامية طلب احتياطيا حساب مستحقه من هذا البدل على أساس اتفاقية التسوية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استأنفته المدعى عليها بالاستئناف رقم 3930/2014 بطلب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لغائه فيما قضى بإلزامها بأن تؤدي إلى كل من المستأنف ضدهم "الطاعنين" مبلغ 2000 دينار تعويضا عن إنهاء خدمته لديها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ضمت المحكمة الاستئنافين وبجلسة 18/6/2015 حكمت برفضهما وتأييد الحكم المستأنف، </w:t>
      </w:r>
      <w:r w:rsidRPr="00E060C7">
        <w:rPr>
          <w:rFonts w:asciiTheme="majorBidi" w:hAnsiTheme="majorBidi" w:cstheme="majorBidi" w:hint="cs"/>
          <w:sz w:val="32"/>
          <w:szCs w:val="32"/>
          <w:rtl/>
          <w:lang w:bidi="ar-BH"/>
        </w:rPr>
        <w:t>ف</w:t>
      </w:r>
      <w:r w:rsidRPr="00E060C7">
        <w:rPr>
          <w:rFonts w:asciiTheme="majorBidi" w:hAnsiTheme="majorBidi" w:cstheme="majorBidi"/>
          <w:sz w:val="32"/>
          <w:szCs w:val="32"/>
          <w:rtl/>
          <w:lang w:bidi="ar-BH"/>
        </w:rPr>
        <w:t>طعن الطاعنون في هذا الحكم بطريق التمييز بالطعن رقم 973/2015، وأودع المكتب الفني مذكرة برأيه.</w:t>
      </w:r>
    </w:p>
    <w:p w:rsidR="001E01CE" w:rsidRPr="00E060C7" w:rsidRDefault="001E01CE" w:rsidP="001E01CE">
      <w:pPr>
        <w:tabs>
          <w:tab w:val="right" w:pos="69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 لما كان يشترط لقبول الطعن أن يكون الطاعن طرفا في الخصومة التي صدر فيها الحكم المطعون فيه وأن يكون هذا الحكم قد قضى عليه بشيء، وكان من المقرر أن ضم الاستئنافين لا يترتب عليه دمجهما بل تبقى لكل منهما ذاته المستقلة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لما كان ذلك وكان الطاعنان الثاني والثالث قد قبلا الحكم الابتدائي ولم يستأنفاه فلم يكونا من أطراف الخصومة في الاستئناف رقم 3864 لسنة 2014 المرفوع من الطاعن الأول وحده، ولئن كانت المطعون ضدها قد اختصمتهما في الاستئناف رقم 3930 لسنة 2014 الذي رفعته على الطاعنين الثلاثة فقد 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فيه لصالحهم برفضه وتأييد الحكم المستأنف فيما قضى به لكل منهم من تعويض عن فصله بدون سبب مشروع، فإن الطعن بالنسبة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لطاعنين الثاني والثالث يكون غير مقبول.</w:t>
      </w:r>
    </w:p>
    <w:p w:rsidR="001E01CE" w:rsidRPr="00E060C7" w:rsidRDefault="001E01CE" w:rsidP="001E01CE">
      <w:pPr>
        <w:tabs>
          <w:tab w:val="right" w:pos="69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الطعن بالنسبة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لطاعن الأول استوفى سائر أوضاعه الشكلية.</w:t>
      </w:r>
    </w:p>
    <w:p w:rsidR="001E01CE" w:rsidRPr="00E060C7" w:rsidRDefault="001E01CE" w:rsidP="001E01CE">
      <w:pPr>
        <w:tabs>
          <w:tab w:val="right" w:pos="69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الطاعن ينعى على الحكم المطعون فيه الخطأ في تطبيق القانون والفساد في الاستدلال والإخلال بحق الدفاع إذ أيد الحكم الابتدائي فيما قضى بعدم جواز نظر طلبي بدل ساعات العمل الإضافية وفوائده التأخيرية لسابقة الفصل فيهما بالاتفاق الذي تم بتاريخ 27/9/2009 بين المطعون ضدها وسائقي النقل الثقيل العاملين لديها ممثلين بنقابتهم لتسوية النزاع الجماعي بين الطرفين بشأن هذا البدل باعتبار أن هذا الاتفاق له قوة الأحكام النهائية بعد وضع الصيغة التنفيذية عليه التي تمنع الطرفين من التنازع في أمر هذا البدل في أي دعوى تالية، في حين أن هذا الاتفاق حتى إن كان ملزما لأطرافه فإنه ليس حكما قضائيا تثبت له قوة الأمر المقضي التي تمنع أطرافه من المنازعة من جديد فيما فصل فيه، ولئن كان هذا الاتفاق قد حدد الأساس الذي يجب الالتزام به في حساب مستحقات العمال عن ساعات العمل الإضافية إلا أنه لم يحدد المبلغ المستحق لكل عامل، فلا يحول دون مطالبته بإلزام المطعون ضدها بأن تؤدي إليه المبلغ المستحق الذي امتنعت عن سداده، وقد تقدم إلى المحكمة الاستئنافية بطلب احتياطي باحتساب مستحقاته على أساس ما ورد باتفاق التسوية، وإذ التفت الحكم المطعون فيه عن هذا الطلب وأيد الحكم الابتدائي فيما قضى بعدم جواز نظر طلب بدل الساعات الإضافية لسابقة الفصل فيه باتفاق التسوية فإنه يكون معيبا بما يوجب نقضه.</w:t>
      </w:r>
    </w:p>
    <w:p w:rsidR="001E01CE" w:rsidRPr="00E060C7" w:rsidRDefault="001E01CE" w:rsidP="001E01CE">
      <w:pPr>
        <w:tabs>
          <w:tab w:val="right" w:pos="69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هذا النعي في محله، ذلك أنه لما كان من المقرر وفقا لنص المادة 99 من قانون الإثبات أن الأحكام التي تحوز قوة الأمر المقضي وتكون حج</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على أطرافها فيما فصلت فيه من الحقوق تحول دون عودتهم إلى المنازعة في شأنها وتقضي بها المحكمة من تلقاء نفسها هي الأحكام القضائية التي تصدر </w:t>
      </w:r>
      <w:r w:rsidRPr="00E060C7">
        <w:rPr>
          <w:rFonts w:asciiTheme="majorBidi" w:hAnsiTheme="majorBidi" w:cstheme="majorBidi" w:hint="cs"/>
          <w:sz w:val="32"/>
          <w:szCs w:val="32"/>
          <w:rtl/>
          <w:lang w:bidi="ar-BH"/>
        </w:rPr>
        <w:t>ع</w:t>
      </w:r>
      <w:r w:rsidRPr="00E060C7">
        <w:rPr>
          <w:rFonts w:asciiTheme="majorBidi" w:hAnsiTheme="majorBidi" w:cstheme="majorBidi"/>
          <w:sz w:val="32"/>
          <w:szCs w:val="32"/>
          <w:rtl/>
          <w:lang w:bidi="ar-BH"/>
        </w:rPr>
        <w:t xml:space="preserve">ن جهة قضائية مختصة، وكان اتفاق تسوية النزاع الجماعي بشأن بدل ساعات العمل الإضافية لسائقي النقل الثقيل العاملين لدى المطعون ضدها قد تم بتاريخ 27/8/2009 برعاية وزارة العمل ووساطتها في ظل أحكام قانون العمل في القطاع الأهلي رقم 23 لسنة 1976 ووفقا لنص المادة 135 من هذا القانون أنه إذا تمكن الوسيط الذي يعينه وزير العمل من تسوية النزاع كليا أو جزئيا أثبت ما يتم الاتفاق عليه في محضر يوقعه ممثلا الطرفين تكون له قوة الأحكام النهائية بعد وضع الصيغة عليه من قسم كتاب المحكمة الكبرى المدنية فإن الوسيط لا يقوم بعمل قضائي ولا يعتبر المحضر الذي يحرره بما تم الاتفاق عليه بين الطرفين حكما قضائيا صادرا </w:t>
      </w:r>
      <w:r w:rsidRPr="00E060C7">
        <w:rPr>
          <w:rFonts w:asciiTheme="majorBidi" w:hAnsiTheme="majorBidi" w:cstheme="majorBidi" w:hint="cs"/>
          <w:sz w:val="32"/>
          <w:szCs w:val="32"/>
          <w:rtl/>
          <w:lang w:bidi="ar-BH"/>
        </w:rPr>
        <w:t>ع</w:t>
      </w:r>
      <w:r w:rsidRPr="00E060C7">
        <w:rPr>
          <w:rFonts w:asciiTheme="majorBidi" w:hAnsiTheme="majorBidi" w:cstheme="majorBidi"/>
          <w:sz w:val="32"/>
          <w:szCs w:val="32"/>
          <w:rtl/>
          <w:lang w:bidi="ar-BH"/>
        </w:rPr>
        <w:t xml:space="preserve">ن جهة قضائية، ولا يخلع عن هذا الاتفاق صفته التعاقدية ولا يغير من ذلك شيئا ما نص عليه القانون أن يكون لهذا المحضر قوة الأحكام النهائية بعد وضع الصيغة التنفيذية عليه فإنه لا يعدو أن يكون تطبيقا لنص المادة 244/2 من قانون المرافعات بأنه يجوز التنفيذ بموجب المحررات الموثقة ومحاضر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لصلح التي تصدق عليها المحاكم والأوراق الأخرى التي يعطيها القانون هذه الصفة، ومفاده أن يكون الاتفاق حاسما للنزاع ملزما لأطرافه يحاجون به في أي نزاع ينشأ بينهم، ولكنه لا يجعل من الاتفاق حكما قضائيا له قوة الأمر المقضي تحول دون نظر هذا النزاع لسابقة الفصل فيه، وإذ خالف الحكم المطعون فيه هذا النظر وأيد الحكم الابتدائي فيما قضى بعدم جواز طلب بدل ساعات العمل الإضافية لسابقة الفصل</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فيه باتفاق التسوية فانه يكون 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خطأ في تطبيق القانون فيتعين نقضه.</w:t>
      </w:r>
    </w:p>
    <w:p w:rsidR="001E01CE" w:rsidRPr="00E060C7" w:rsidRDefault="001E01CE" w:rsidP="001E01CE">
      <w:pPr>
        <w:tabs>
          <w:tab w:val="right" w:pos="69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نه لما كان الموضوع صالحا للفصل فيه ولما تقدم، وكان البين من الأوراق أن الطاعن بدأ عمله لدى المطعون ضدها بتاريخ 1/4/2000 وانتهى بتاريخ 13/8/2009 فبلغت مدته تسع سنوات وخمسة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شهر وثلاثة عشر يوما، وكانت المطعون ضدها قد التزمت بموجب اتفاق التسوية بأن تؤدي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 xml:space="preserve">ى </w:t>
      </w:r>
      <w:r w:rsidRPr="00E060C7">
        <w:rPr>
          <w:rFonts w:asciiTheme="majorBidi" w:hAnsiTheme="majorBidi" w:cstheme="majorBidi"/>
          <w:sz w:val="32"/>
          <w:szCs w:val="32"/>
          <w:rtl/>
          <w:lang w:bidi="ar-BH"/>
        </w:rPr>
        <w:t>كل عامل من سائقي النقل بدل ساعات العمل الإضافية مبلغ 2000 دينار عن كل سنة خدمة يضاف إلى مجموعه الكلي 15% مقابل أتعاب المحاماة لمن أقام دعوى قضائية ووكل محاميا عنه فيكون مجموع المستحق للطاعن بموجب هذا الاتفاق مبلغ 18905 دنا</w:t>
      </w:r>
      <w:r w:rsidRPr="00E060C7">
        <w:rPr>
          <w:rFonts w:asciiTheme="majorBidi" w:hAnsiTheme="majorBidi" w:cstheme="majorBidi" w:hint="cs"/>
          <w:sz w:val="32"/>
          <w:szCs w:val="32"/>
          <w:rtl/>
          <w:lang w:bidi="ar-BH"/>
        </w:rPr>
        <w:t>ني</w:t>
      </w:r>
      <w:r w:rsidRPr="00E060C7">
        <w:rPr>
          <w:rFonts w:asciiTheme="majorBidi" w:hAnsiTheme="majorBidi" w:cstheme="majorBidi"/>
          <w:sz w:val="32"/>
          <w:szCs w:val="32"/>
          <w:rtl/>
          <w:lang w:bidi="ar-BH"/>
        </w:rPr>
        <w:t>ر يضاف إليه مبلغ 2836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مقابل أتعاب المحاماة بمجموع مقداره 21741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وهو ما يتجاوز المبلغ الذي طلب الطاعن الحكم له بصفة أصلية 590/17152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الذي يتعين على المحكمة التقيد به وعدم الحكم له بما يجاوزه، ومن ثم يتعين إلزام المطعون ضدها بأن تؤدي إليه هذا المبلغ وفوائده التأخ</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رية بواقع 5% سنويا بدءا من 11/9/2014 تاريخ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مطالبة بمستحقه محددا بالمبلغ المقضي به حتى تمام السداد.</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BF4"/>
    <w:rsid w:val="0003272B"/>
    <w:rsid w:val="001E01CE"/>
    <w:rsid w:val="00881E95"/>
    <w:rsid w:val="00F25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1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1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1769</Words>
  <Characters>10086</Characters>
  <Application>Microsoft Office Word</Application>
  <DocSecurity>0</DocSecurity>
  <Lines>84</Lines>
  <Paragraphs>23</Paragraphs>
  <ScaleCrop>false</ScaleCrop>
  <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2020-04-21T11:55:00Z</dcterms:created>
  <dcterms:modified xsi:type="dcterms:W3CDTF">2020-04-21T11:56:00Z</dcterms:modified>
</cp:coreProperties>
</file>