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14" w:rsidRPr="00E060C7" w:rsidRDefault="00572814" w:rsidP="00572814">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26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572814" w:rsidRPr="00E060C7" w:rsidRDefault="00572814" w:rsidP="0057281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البوعينين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علي يوسف منصور ، معصومة عبدالرسول عيسى، نادر السيد علي عبدالمطلب ، عبدالله يعقوب عبدالرحمن</w:t>
      </w:r>
    </w:p>
    <w:p w:rsidR="00572814" w:rsidRPr="00E060C7" w:rsidRDefault="00572814" w:rsidP="0057281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72814" w:rsidRPr="00E060C7" w:rsidRDefault="00572814" w:rsidP="00572814">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572814" w:rsidRPr="00E060C7" w:rsidRDefault="00572814" w:rsidP="00572814">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133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572814" w:rsidRPr="00E060C7" w:rsidRDefault="00572814" w:rsidP="0057281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983 لسنة 2015 </w:t>
      </w:r>
    </w:p>
    <w:p w:rsidR="00572814" w:rsidRPr="00E060C7" w:rsidRDefault="00572814" w:rsidP="00572814">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2) اثبات . خبرة . قضاء . </w:t>
      </w:r>
    </w:p>
    <w:p w:rsidR="00572814" w:rsidRPr="00E060C7" w:rsidRDefault="00572814" w:rsidP="0057281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حياد القاض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نظر الدعوى . مفهومها . لم يشأ المشرع أن يكون حياده سلبيا بل جعله حيادا إيجابيا فخوله سلطة توجيه الدعوى وجهتها الصحيحة . سبيله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ذلك . أجاز له 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لإثباتها بشهادة الشهود من تلقاء نفسه ( م 71 اثبات ) واستجواب الخصوم بأشخاصهم ( م 105 من ذات القانون ) وتوجيه اليمين المت</w:t>
      </w:r>
      <w:r w:rsidRPr="00E060C7">
        <w:rPr>
          <w:rFonts w:asciiTheme="majorBidi" w:hAnsiTheme="majorBidi" w:cstheme="majorBidi" w:hint="cs"/>
          <w:sz w:val="32"/>
          <w:szCs w:val="32"/>
          <w:rtl/>
          <w:lang w:bidi="ar-BH"/>
        </w:rPr>
        <w:t>م</w:t>
      </w:r>
      <w:r w:rsidRPr="00E060C7">
        <w:rPr>
          <w:rFonts w:asciiTheme="majorBidi" w:hAnsiTheme="majorBidi" w:cstheme="majorBidi"/>
          <w:sz w:val="32"/>
          <w:szCs w:val="32"/>
          <w:rtl/>
          <w:lang w:bidi="ar-BH"/>
        </w:rPr>
        <w:t>م</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 م 126 من ذات القانون ) والانتقال للمعاينة ( م 129 من ذات القانون ) وندب خبير ( م 132 من ذات القانون ) . </w:t>
      </w:r>
      <w:r w:rsidRPr="00E060C7">
        <w:rPr>
          <w:rFonts w:asciiTheme="majorBidi" w:hAnsiTheme="majorBidi" w:cstheme="majorBidi" w:hint="cs"/>
          <w:sz w:val="32"/>
          <w:szCs w:val="32"/>
          <w:rtl/>
          <w:lang w:bidi="ar-BH"/>
        </w:rPr>
        <w:t>فحو</w:t>
      </w:r>
      <w:r w:rsidRPr="00E060C7">
        <w:rPr>
          <w:rFonts w:asciiTheme="majorBidi" w:hAnsiTheme="majorBidi" w:cstheme="majorBidi"/>
          <w:sz w:val="32"/>
          <w:szCs w:val="32"/>
          <w:rtl/>
          <w:lang w:bidi="ar-BH"/>
        </w:rPr>
        <w:t>ى ذلك استناد الحكم المطعون فيه إلى تقرير الخبير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ندبته المحكمة من تلقاء نفسها . لا عيب .   </w:t>
      </w:r>
    </w:p>
    <w:p w:rsidR="00572814" w:rsidRPr="00E060C7" w:rsidRDefault="00572814" w:rsidP="00572814">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572814" w:rsidRPr="00E060C7" w:rsidRDefault="00572814" w:rsidP="00572814">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التزام الخبير بأن يسمع بغير يمين أقوال من يحضرهم الخصوم. م 144 اثبات . عدم اعتبار أقوالهم من قبيل شهادة الشهود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وضع لها القانون أحكاما خاصة باعتبارها دليلا مستقلا من أدلة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لا تعدو أن تكون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حد العناصر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يستند إليها الخبير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تكوين رأيه . خضوع النتيجة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ينته</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إليها الخبير لتقدير محكمة الموضوع . لها أن تأخذ بها متى كانت قائمة على أسباب ومقدمات سائغة . </w:t>
      </w:r>
    </w:p>
    <w:p w:rsidR="00572814" w:rsidRPr="00E060C7" w:rsidRDefault="00572814" w:rsidP="0057281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72814" w:rsidRPr="00E060C7" w:rsidRDefault="00572814" w:rsidP="0057281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1- إن كان حياد القاضي في نظر الدعوى ه</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 الركيزة الأساسية في نظام التقاضي فإن تحقيق العدالة بين الخصوم بما تقتضيه من الوقوف على حقيقة الواقع في الدعوى حتى يقول القاضي رأيه فيها وينزل عليها حكم القانون بضمير مطمئن تبقى غايته المنشودة يسعى إليها ما استطاع إلى ذلك سبيلا فلم يشأ المشرع أن يكون حياده سلبيا بل جعله حيادا إيجابيا فخوله سلطة توجيه الدعوى وجهتها الصحيحة فلا تنحرف عن وضعها الطبيعي بسبب عنت الخصوم أو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همالهم، وأجاز له 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لإثباتها بشهادة الشهود من تلقاء نفسه متى رأى ذلك إظهار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للحقيقة "م-71 إثبات" وإحضار الخصوم بأشخاصهم لاستجوابهم من تلقاء نفسه متى رأى موجبا لذلك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 – 105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وتوجيه اليمين المتممة من تلقاء نفسه لأي من الخصمين ليبن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على ذلك حكمه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م-126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أجاز له الانتقال لمعاينة المتنازع عليه عند الاقتضاء من تلقاء نفسه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م-129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أو ندب خبير للاستعانة برأيه عند الاقتصاء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م-132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حتى لو كانت الدعوى خالية من أي دليل آخر فلا على الحكم المطعون فيه إن استند في قضائه إلى تقرير الخبير الذي ندبته المحكمة من تلقاء نفسها . </w:t>
      </w:r>
    </w:p>
    <w:p w:rsidR="00572814" w:rsidRPr="00E060C7" w:rsidRDefault="00572814" w:rsidP="0057281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2- المقرر أن المادة 144 من قانون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قد أوجبت على الخبير أن يسمع بغير يمين أقوال من يحضرهم الخصوم فلا تعتبر أقوالهم من قبيل شهادة الشهود التي وضع لها القانون أحكاما خاصة ب</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عتبارها دليلا مستقلا من أدلة الإثبات، ولا تعدو أن تكون أحد العناصر التي يستند إليها الخبير في تكوين رأيه بالنتيجة التي ينتهي إليها في عمله والتي تخضع لتقدير المحكمة فلها أن تأخذ بها متى اطمأنت إليها وكانت قائمة على أسباب ومقدمات سائغة تؤدي إليها. </w:t>
      </w:r>
    </w:p>
    <w:p w:rsidR="00572814" w:rsidRPr="00E060C7" w:rsidRDefault="00572814" w:rsidP="00572814">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72814" w:rsidRPr="00E060C7" w:rsidRDefault="00572814" w:rsidP="00572814">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والمداولة.</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الوقائع – على ما يبين من الأوراق – تتحصل في أن المطعون ضدهما رفعتا الدعوى رقم 11895/2010 على الطاعنة باللائحة المقدمة إلى المحكمة الصغرى المدنية بتاريخ 13/11/2010 تطلبان الحكم بثبوت ملكيتهما للعقار المبين باللائحة "------------- " الكائن بمنطقة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سنابس وإلزام المدعى عليه بتسجيله باسمهما وفقا للفريضة الشرعية رقم 67/1412هـ المؤرخة 13/8/1991 وإصدار وثيقة عقارية بذلك</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قائلتين إنهما تملكتا هذا العقار بالحيازة الهادئة المستقرة</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منازع استمرارا لحيازة مورثهما لمدة تزيد على سبعين عاما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دفع المدعى عليه بعدم جواز نظر الدعوى لسبق الفصل فيها بالحكم الصادر بتاريخ 1/3/1993 في الدعوى رقم 5383/1991 الذي قضى برفضها وبعد ضم ملف تلك الدعوى حكمت المحكمة بعدم سماع الدعوى بناء على عدم اكتمال شروط التقادم المكسب للمدعيتين بشأن العقار موضوع النزاع من تاريخ الحكم في الدعوى السابقة حتى تاريخ 24/7/2002 تاريخ العمل بأحكام المرسوم بقانون رقم 19 لسنة 2002 بشأن التصرف في الأراضي المملوكة للدولة ملكية خاصة، فاستأنفت المدعيتان الحكم بالاستئناف رقم 754/2014 وتمسك المستأنف ضده بالدفع الذي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بداه وأغفله الحكم المستأنف بعدم جواز نظر الدعوى لسبق الفصل فيها،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 xml:space="preserve">ندبت المحكمة الاستئنافية خبيرا وبعد أن قدم تقريره حكمت بإلغاء الحكم المستأنف وبثبوت ملكية </w:t>
      </w:r>
      <w:r w:rsidRPr="00E060C7">
        <w:rPr>
          <w:rFonts w:asciiTheme="majorBidi" w:hAnsiTheme="majorBidi" w:cstheme="majorBidi"/>
          <w:sz w:val="32"/>
          <w:szCs w:val="32"/>
          <w:rtl/>
          <w:lang w:bidi="ar-BH"/>
        </w:rPr>
        <w:br w:type="page"/>
        <w:t xml:space="preserve">                 </w:t>
      </w:r>
      <w:r w:rsidRPr="00E060C7">
        <w:rPr>
          <w:rFonts w:asciiTheme="majorBidi" w:hAnsiTheme="majorBidi" w:cstheme="majorBidi"/>
          <w:b/>
          <w:bCs/>
          <w:sz w:val="32"/>
          <w:szCs w:val="32"/>
          <w:rtl/>
          <w:lang w:bidi="ar-BH"/>
        </w:rPr>
        <w:t>جلسة 26 من نوفمبر سنة 2017</w:t>
      </w:r>
    </w:p>
    <w:p w:rsidR="00572814" w:rsidRPr="00E060C7" w:rsidRDefault="00572814" w:rsidP="00572814">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المستأنف</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ين للعقار موضوع التداعي وإلزام المستأنف ضده بتسجيله في سجلاته الرسمية وإصدار وثيقة عقارية باسمهما، وتضمنت أسباب الحكم ردا على الدفع المبدى بعدم جواز نظر الدعوى لسبق الفصل فيها طعن المستأنف ضده في هذا الحكم بطريق التمييز، وأودع المكتب الفني مذكرة برأيه.</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ن الطعن بن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على ثلاثة أسباب ينعى الطاعن على الحكم المطعون فيه بالسبب الأول بطلانه لوقوع بطلان في الإجراءات أثر فيه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وقد نصت المادة الأولى من قانون الإثبات أن</w:t>
      </w:r>
      <w:r w:rsidRPr="00E060C7">
        <w:rPr>
          <w:rFonts w:asciiTheme="majorBidi" w:hAnsiTheme="majorBidi" w:cstheme="majorBidi" w:hint="cs"/>
          <w:sz w:val="32"/>
          <w:szCs w:val="32"/>
          <w:rtl/>
          <w:lang w:bidi="ar-BH"/>
        </w:rPr>
        <w:t>ه</w:t>
      </w:r>
      <w:r w:rsidRPr="00E060C7">
        <w:rPr>
          <w:rFonts w:asciiTheme="majorBidi" w:hAnsiTheme="majorBidi" w:cstheme="majorBidi"/>
          <w:sz w:val="32"/>
          <w:szCs w:val="32"/>
          <w:rtl/>
          <w:lang w:bidi="ar-BH"/>
        </w:rPr>
        <w:t xml:space="preserve"> على الدائن إثبات الالتزام فإن الأصل في إثباته بشهادة الشهود أن يكون بطلب من الدائن وإذا كان المشرع قد أجاز للمحكمة أن تأمر بالإثبات بشهادة الشهود من تلقاء نفسها "م-71 إثبات" فإنه استثناء لحكمة قصدها المشرع ليست الغاية منها أن تقوم المحكمة مقام الخصم المكلف بالإثبات وأن تتولى إثبات دعواه الخالية من أي دليل وإيجاد أدلة لمصلحته بل إفساح المجال أمام المحكمة لاستكمال الوسائل المؤدية إلى قناعتها لتطمئن إلى الحكم الذي تصدره ومن ثم يكون مجال استعمال هذه الرخصة أن يكون في الدعوى دليل ناقص لا تكتفي به المحكمة فترى تكملته بإحالة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ولا مجال لاستعمالها إذا كانت الدعوى خالية من أي دليل، ولما كانت المطعون ضدهما قد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قامتا الدعوى خالية من أي دليل يظاهرها أو قرائن ترجح احتمال صدقها ولم تتقدما بطلب إثباتها بشهادة الشهود فإن المحكمة إذ قررت ندب خبير في الدعوى تكون قد استعملت الرخصة المخولة لها بنص المادة 71 إثبات في غير حالتها مما يصم هذا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جراء بالبطلان وإذ استند الحكم في قضائه إلى تقرير الخبير فإنه يكون قد تأثر بالإجراء الباطل ويبطله ويستوجب نقضه.</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b/>
          <w:bCs/>
          <w:sz w:val="32"/>
          <w:szCs w:val="32"/>
          <w:rtl/>
          <w:lang w:bidi="ar-BH"/>
        </w:rPr>
        <w:t xml:space="preserve">                          </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 ذلك أنه وإن كان حياد القاضي في نظر الدعوى ه</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 الركيزة الأساسية في نظام التقاضي فإن تحقيق العدالة بين الخصوم بما تقتضيه من الوقوف على حقيقة الواقع في الدعوى حتى يقول القاضي رأيه فيها وينزل عليها حكم القانون بضمير مطمئن تبقى غايته المنشودة يسعى إليها ما استطاع إلى ذلك سبيلا فلم يشأ المشرع أن يكون حياده سلبيا بل جعله حيادا إيجابيا فخوله سلطة توجيه الدعوى وجهتها الصحيحة فلا تنحرف عن وضعها الطبيعي بسبب عنت الخصوم أو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همالهم، وأجاز له إحالة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لإثباتها بشهادة الشهود من تلقاء نفسه متى رأى ذلك إظهار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للحقيقة "م-71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وإحضار الخصوم بأشخاصهم لاستجوابهم من تلقاء نفسه متى رأى موجبا لذلك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 – 105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وتوجيه اليمين المتممة من تلقاء نفسه لأي من الخصمين ليبن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على ذلك حكمه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م-126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كما أجاز له الانتقال لمعاينة المتنازع عليه عند الاقتضاء من تلقاء نفسه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م-129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أو ندب خبير للاستعانة برأيه عند الاقت</w:t>
      </w:r>
      <w:r w:rsidRPr="00E060C7">
        <w:rPr>
          <w:rFonts w:asciiTheme="majorBidi" w:hAnsiTheme="majorBidi" w:cstheme="majorBidi" w:hint="cs"/>
          <w:sz w:val="32"/>
          <w:szCs w:val="32"/>
          <w:rtl/>
          <w:lang w:bidi="ar-BH"/>
        </w:rPr>
        <w:t>ض</w:t>
      </w:r>
      <w:r w:rsidRPr="00E060C7">
        <w:rPr>
          <w:rFonts w:asciiTheme="majorBidi" w:hAnsiTheme="majorBidi" w:cstheme="majorBidi"/>
          <w:sz w:val="32"/>
          <w:szCs w:val="32"/>
          <w:rtl/>
          <w:lang w:bidi="ar-BH"/>
        </w:rPr>
        <w:t xml:space="preserve">اء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م-132 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حتى لو كانت الدعوى خالية من أي دليل آخر فلا على الحكم المطعون فيه إن استند في قضائه إلى تقرير الخبير الذي ندبته المحكمة من تلقاء نفسها ومن ثم يكون النعي على الحكم بهذا السبب قائما على غير أساس.</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الطاعن ينعى على الحكم بالسببين الثاني والثالث الخطأ في تطبيق القانون والفساد في الاستدلال إذ عول في قضائه على تقرير الخبير وأقوال الشهود الذين صرحت له المحكمة بسماعهم بغير يمين فهي لا تعتبر شهادة مستوفاة لشروط الشهادة للاعتداد بها دليلا للإثبات وفقا لأحكام شهادة الشهود في قانون الإثبات</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على المحكمة في حال اطمئنانها إلى شهادتهم أمام الخبير أن تحيل الدعوى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لتحقيق لسماعهم بنفسها وفقا لأحكام</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القانون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وإذ عول الحكم المطعون فيه على شهادتهم أمام الخبير فإنه يكون معيبا بما يستوجب نقضه.</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هذا النعي غير سديد، ذلك أنه لما كانت محكمة الموضوع قد استعملت الرخصة المخولة لها بنص المادة 132 من قانون الإثبات فحكمت بندب خبير في الدعوى للاطلاع على أوراقها ومستنداتها ومعاينة العقار موضوع النزاع لبيان حدوده </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معالمه ومساحته وواضع اليد عليه وسنده في ذلك ومدة وضع يده وما إذا كانت قد استدامت لمدة 60 عاما قبل 24/7/2002، وكانت المادة 144 من ذلك القانون قد أوجبت على الخبير أن يسمع بغير يمين أقوال من يحضرهم الخصوم فلا تعتبر أقوالهم من قبيل شهادة الشهود التي وضع لها القانون أحكاما خاصة ب</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عتبارها دليلا مستقلا من أدلة الإثبات، ولا تعدو أن تكون أحد العناصر التي يستند إليها الخبير في تكوين رأيه بالنتيجة التي ينتهي إليها في عمله والتي تخضع لتقدير المحكمة فلها أن تأخذ بها متى اطمأنت إليها وكانت قائمة على أسباب ومقدمات سائغة تؤدي إليها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الحكم المطعون فيه قد خلص إلى أن حيازة المطعون ضدهما لأرض النزاع استمرارا لحيازة مورثهما التي بدأها في سنة 1930 قد استطالت لمدة 72 عاما قبل 24/7/2002 تاريخ العمل المرسوم بقانون رقم 19 لسنة 2002 الذي </w:t>
      </w:r>
      <w:r w:rsidRPr="00E060C7">
        <w:rPr>
          <w:rFonts w:asciiTheme="majorBidi" w:hAnsiTheme="majorBidi" w:cstheme="majorBidi" w:hint="cs"/>
          <w:sz w:val="32"/>
          <w:szCs w:val="32"/>
          <w:rtl/>
          <w:lang w:bidi="ar-BH"/>
        </w:rPr>
        <w:t>ح</w:t>
      </w:r>
      <w:r w:rsidRPr="00E060C7">
        <w:rPr>
          <w:rFonts w:asciiTheme="majorBidi" w:hAnsiTheme="majorBidi" w:cstheme="majorBidi"/>
          <w:sz w:val="32"/>
          <w:szCs w:val="32"/>
          <w:rtl/>
          <w:lang w:bidi="ar-BH"/>
        </w:rPr>
        <w:t>طر تملك الأراضي المملوكة للدولة ملكية خاصة بالتقادم أخذا بالنتيجة التي انتهى إليها الخبير في تقريره استنادا إلى عدة عناصر من بينها أقوال من أحضرتهم المطعون ضدهما وسمعهم الخبير بغير يمين التي اطمأنت المحكمة إليها، وكان هذا الذي خلص إليه الحكم استخلاصا سائغا لواقع الدعوى لم يتجاوز به السلطة التقديرية لمحكمة الموضوع كافيا لحمل قضائه وفقا لصحيح القانون فإن النعي عليه بهذين السببين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يكون قائما على غير أساس.</w:t>
      </w:r>
    </w:p>
    <w:p w:rsidR="00572814" w:rsidRPr="00E060C7" w:rsidRDefault="00572814" w:rsidP="00572814">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إنه لما تقدم يتعين رفض الطعن وإلزام الطاعن بالمصاريف ومصادرة الكفالة.                                                                                                                                                                                                                                                                                                                                                                                                                                                                                                                                                                                                                                                                                                              </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18"/>
    <w:rsid w:val="0003272B"/>
    <w:rsid w:val="001F4C18"/>
    <w:rsid w:val="00572814"/>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1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81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2020-04-21T11:54:00Z</dcterms:created>
  <dcterms:modified xsi:type="dcterms:W3CDTF">2020-04-21T11:54:00Z</dcterms:modified>
</cp:coreProperties>
</file>