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24" w:rsidRPr="00E060C7" w:rsidRDefault="00771224" w:rsidP="00771224">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28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771224" w:rsidRPr="00E060C7" w:rsidRDefault="00771224" w:rsidP="00771224">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د. طه عبدالمولى طه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إبراهيم محمد المرصفاوي ، عدنان عبدالله الشيخ هزيم الشامسي ، محمد حسن البوعينين  </w:t>
      </w:r>
    </w:p>
    <w:p w:rsidR="00771224" w:rsidRPr="00E060C7" w:rsidRDefault="00771224" w:rsidP="0077122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71224" w:rsidRPr="00E060C7" w:rsidRDefault="00771224" w:rsidP="0077122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  135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771224" w:rsidRPr="00E060C7" w:rsidRDefault="00771224" w:rsidP="0077122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1001 لسنة 2015 </w:t>
      </w:r>
    </w:p>
    <w:p w:rsidR="00771224" w:rsidRPr="00E060C7" w:rsidRDefault="00771224" w:rsidP="00771224">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 </w:t>
      </w:r>
      <w:r w:rsidRPr="00E060C7">
        <w:rPr>
          <w:rFonts w:asciiTheme="majorBidi" w:hAnsiTheme="majorBidi" w:cstheme="majorBidi" w:hint="cs"/>
          <w:b/>
          <w:bCs/>
          <w:sz w:val="32"/>
          <w:szCs w:val="32"/>
          <w:u w:val="single"/>
          <w:rtl/>
          <w:lang w:bidi="ar-BH"/>
        </w:rPr>
        <w:t>-</w:t>
      </w:r>
      <w:r w:rsidRPr="00E060C7">
        <w:rPr>
          <w:rFonts w:asciiTheme="majorBidi" w:hAnsiTheme="majorBidi" w:cstheme="majorBidi"/>
          <w:b/>
          <w:bCs/>
          <w:sz w:val="32"/>
          <w:szCs w:val="32"/>
          <w:u w:val="single"/>
          <w:rtl/>
          <w:lang w:bidi="ar-BH"/>
        </w:rPr>
        <w:t>2) اختصاص . حكم " عيوب ال</w:t>
      </w:r>
      <w:r w:rsidRPr="00E060C7">
        <w:rPr>
          <w:rFonts w:asciiTheme="majorBidi" w:hAnsiTheme="majorBidi" w:cstheme="majorBidi" w:hint="cs"/>
          <w:b/>
          <w:bCs/>
          <w:sz w:val="32"/>
          <w:szCs w:val="32"/>
          <w:u w:val="single"/>
          <w:rtl/>
          <w:lang w:bidi="ar-BH"/>
        </w:rPr>
        <w:t>ت</w:t>
      </w:r>
      <w:r w:rsidRPr="00E060C7">
        <w:rPr>
          <w:rFonts w:asciiTheme="majorBidi" w:hAnsiTheme="majorBidi" w:cstheme="majorBidi"/>
          <w:b/>
          <w:bCs/>
          <w:sz w:val="32"/>
          <w:szCs w:val="32"/>
          <w:u w:val="single"/>
          <w:rtl/>
          <w:lang w:bidi="ar-BH"/>
        </w:rPr>
        <w:t xml:space="preserve">دليل : مخالفة القانون " . دعوى . قضاء مستعجل .                </w:t>
      </w:r>
    </w:p>
    <w:p w:rsidR="00771224" w:rsidRPr="00E060C7" w:rsidRDefault="00771224" w:rsidP="0077122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دعوى طرد حائز العقار من اختصاص قاض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الأمور المستعجلة . شرطه توافر شرط الاستعجال وقيام دليل جد</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من ظاهر المستندات أنه يضع يده عليه بغير سند من القانون . تطلب الأمر تعمقا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موضوعيا فى البحث لترجيح إحدى وجهت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النظر على الأخرى. وجوب القضاء بعدم اختصاصه بنظر الدعوى . علة ذلك .    </w:t>
      </w:r>
    </w:p>
    <w:p w:rsidR="00771224" w:rsidRPr="00E060C7" w:rsidRDefault="00771224" w:rsidP="00771224">
      <w:pPr>
        <w:tabs>
          <w:tab w:val="left" w:pos="5966"/>
        </w:tabs>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r>
        <w:rPr>
          <w:rFonts w:asciiTheme="majorBidi" w:hAnsiTheme="majorBidi" w:cstheme="majorBidi"/>
          <w:b/>
          <w:bCs/>
          <w:sz w:val="32"/>
          <w:szCs w:val="32"/>
          <w:rtl/>
          <w:lang w:bidi="ar-BH"/>
        </w:rPr>
        <w:tab/>
      </w:r>
    </w:p>
    <w:p w:rsidR="00771224" w:rsidRPr="00E060C7" w:rsidRDefault="00771224" w:rsidP="0077122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(2) دعوى إثبات الحالة . ما هيتها . إجراء تحفظ</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يصور حالة مادية يتعذر إثباتها مستقبلاً صيانة للدليل المثبت للحق من خطر الضياع وأن تكون الحالة المراد إثباتها قابلة للتغيير زيادة أو نقصان</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من وقت </w:t>
      </w:r>
      <w:r w:rsidRPr="00E060C7">
        <w:rPr>
          <w:rFonts w:asciiTheme="majorBidi" w:hAnsiTheme="majorBidi" w:cstheme="majorBidi" w:hint="cs"/>
          <w:sz w:val="32"/>
          <w:szCs w:val="32"/>
          <w:rtl/>
          <w:lang w:bidi="ar-BH"/>
        </w:rPr>
        <w:t>إلى آ</w:t>
      </w:r>
      <w:r w:rsidRPr="00E060C7">
        <w:rPr>
          <w:rFonts w:asciiTheme="majorBidi" w:hAnsiTheme="majorBidi" w:cstheme="majorBidi"/>
          <w:sz w:val="32"/>
          <w:szCs w:val="32"/>
          <w:rtl/>
          <w:lang w:bidi="ar-BH"/>
        </w:rPr>
        <w:t>خر أو عرض</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للزوال بفعل الزمن أو الطبيعة أو خشية ضياع كل أو بعض </w:t>
      </w:r>
      <w:r w:rsidRPr="00E060C7">
        <w:rPr>
          <w:rFonts w:asciiTheme="majorBidi" w:hAnsiTheme="majorBidi" w:cstheme="majorBidi" w:hint="cs"/>
          <w:sz w:val="32"/>
          <w:szCs w:val="32"/>
          <w:rtl/>
          <w:lang w:bidi="ar-BH"/>
        </w:rPr>
        <w:t>آ</w:t>
      </w:r>
      <w:r w:rsidRPr="00E060C7">
        <w:rPr>
          <w:rFonts w:asciiTheme="majorBidi" w:hAnsiTheme="majorBidi" w:cstheme="majorBidi"/>
          <w:sz w:val="32"/>
          <w:szCs w:val="32"/>
          <w:rtl/>
          <w:lang w:bidi="ar-BH"/>
        </w:rPr>
        <w:t>ثارها إن طرح أصل النزاع أمام القضاء العاد</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مخالفة الحكم المطعون فيه هذا النظر وقض</w:t>
      </w:r>
      <w:r w:rsidRPr="00E060C7">
        <w:rPr>
          <w:rFonts w:asciiTheme="majorBidi" w:hAnsiTheme="majorBidi" w:cstheme="majorBidi" w:hint="cs"/>
          <w:sz w:val="32"/>
          <w:szCs w:val="32"/>
          <w:rtl/>
          <w:lang w:bidi="ar-BH"/>
        </w:rPr>
        <w:t>اؤة</w:t>
      </w:r>
      <w:r w:rsidRPr="00E060C7">
        <w:rPr>
          <w:rFonts w:asciiTheme="majorBidi" w:hAnsiTheme="majorBidi" w:cstheme="majorBidi"/>
          <w:sz w:val="32"/>
          <w:szCs w:val="32"/>
          <w:rtl/>
          <w:lang w:bidi="ar-BH"/>
        </w:rPr>
        <w:t xml:space="preserve"> بعدم اختصاص القضاء المستعجل بنظر طلب إثبات الحالة استنادا إلى أنه لا يجوز للقاض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المستعجل الانتقال للمعاينة أو ندب خبير غيره لإثبات واقعة مادية متنازع عليها تمهيدا للفصل فيها لمساس ذلك بأصل الحق</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 مخالفة للقانون .      </w:t>
      </w:r>
    </w:p>
    <w:p w:rsidR="00771224" w:rsidRPr="00E060C7" w:rsidRDefault="00771224" w:rsidP="0077122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771224" w:rsidRPr="00E060C7" w:rsidRDefault="00771224" w:rsidP="0077122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1- من المقرر أن قاضي الأمور المستعجلة يختص بدعوى طرد حائز العقار إذا توافر شرط الاستعجال وقام دليل جدي من ظاهر المستندات على أنه يضع يده عليه </w:t>
      </w:r>
      <w:r w:rsidRPr="00E060C7">
        <w:rPr>
          <w:rFonts w:asciiTheme="majorBidi" w:hAnsiTheme="majorBidi" w:cstheme="majorBidi"/>
          <w:sz w:val="32"/>
          <w:szCs w:val="32"/>
          <w:rtl/>
          <w:lang w:bidi="ar-BH"/>
        </w:rPr>
        <w:lastRenderedPageBreak/>
        <w:t xml:space="preserve">بغير سند من القانون، فإذا اتضح له من الأوراق المطروحة أمامه أنها لا تكفي لتكوين عقيدته في ترجيح إحدى وجهتي النظر على الأخرى وأن هذا الترجيح يتطلب تعمقا موضوعيا في البحث، تعين عليه أن يقضي بعدم اختصاصه بنظر الدعوى حتى لا يمس أصل الحق الممتنع على القضاء المستعجل . </w:t>
      </w:r>
    </w:p>
    <w:p w:rsidR="00771224" w:rsidRPr="00E060C7" w:rsidRDefault="00771224" w:rsidP="0077122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2- المقرر أن دعوى إثبات الحالة – وعلى ما جرى به نص المادة 131 من قانون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ثبات واستقر عليه قضاء هذه المحكمة – هي إجراء تحفظي يصور حالة مادية يتعذر إثباتها مستقبلا صيانة للدليل المثبت للحق من خطر الضياع و</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 تكون الحالة المراد إثباتها قابلة للتغيير زيادة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و نقصان</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من وقت </w:t>
      </w:r>
      <w:r w:rsidRPr="00E060C7">
        <w:rPr>
          <w:rFonts w:asciiTheme="majorBidi" w:hAnsiTheme="majorBidi" w:cstheme="majorBidi" w:hint="cs"/>
          <w:sz w:val="32"/>
          <w:szCs w:val="32"/>
          <w:rtl/>
          <w:lang w:bidi="ar-BH"/>
        </w:rPr>
        <w:t>إلى آ</w:t>
      </w:r>
      <w:r w:rsidRPr="00E060C7">
        <w:rPr>
          <w:rFonts w:asciiTheme="majorBidi" w:hAnsiTheme="majorBidi" w:cstheme="majorBidi"/>
          <w:sz w:val="32"/>
          <w:szCs w:val="32"/>
          <w:rtl/>
          <w:lang w:bidi="ar-BH"/>
        </w:rPr>
        <w:t xml:space="preserve">خر أو أن تكون عرضة للزوال بفعل الزمن أو الطبيعة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و يخشى أن </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ضيع كل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و بعض آثارها إذ</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طرح أصل النزاع أمام القضاء العادي . </w:t>
      </w:r>
    </w:p>
    <w:p w:rsidR="00771224" w:rsidRPr="00E060C7" w:rsidRDefault="00771224" w:rsidP="00771224">
      <w:pPr>
        <w:tabs>
          <w:tab w:val="left" w:pos="708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771224" w:rsidRPr="00E060C7" w:rsidRDefault="00771224" w:rsidP="00771224">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771224" w:rsidRPr="00E060C7" w:rsidRDefault="00771224" w:rsidP="0077122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771224" w:rsidRPr="00E060C7" w:rsidRDefault="00771224" w:rsidP="0077122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حيث إن الطعن استوفى أوضاعه الشكلية.</w:t>
      </w:r>
    </w:p>
    <w:p w:rsidR="00771224" w:rsidRPr="00E060C7" w:rsidRDefault="00771224" w:rsidP="0077122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الوقائع</w:t>
      </w:r>
      <w:r w:rsidRPr="00E060C7">
        <w:rPr>
          <w:rFonts w:asciiTheme="majorBidi" w:hAnsiTheme="majorBidi" w:cstheme="majorBidi"/>
          <w:sz w:val="32"/>
          <w:szCs w:val="32"/>
          <w:lang w:bidi="ar-BH"/>
        </w:rPr>
        <w:t xml:space="preserve">- </w:t>
      </w:r>
      <w:r w:rsidRPr="00E060C7">
        <w:rPr>
          <w:rFonts w:asciiTheme="majorBidi" w:hAnsiTheme="majorBidi" w:cstheme="majorBidi"/>
          <w:sz w:val="32"/>
          <w:szCs w:val="32"/>
          <w:rtl/>
          <w:lang w:bidi="ar-BH"/>
        </w:rPr>
        <w:t xml:space="preserve"> على ما يبين من الأوراق – تتحصل في أن الطاعنة أقامت على المطعون ضدها الدعوى رقم 212 لسنة </w:t>
      </w:r>
    </w:p>
    <w:p w:rsidR="00771224" w:rsidRPr="00E060C7" w:rsidRDefault="00771224" w:rsidP="0077122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2015 أمام محكمة الأمور المستعجلة قائلة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نها تمتلك المجمع التجاري المبين باللائحة وقد خصصت جزءا منه كساحة لانتظار سيارات العملاء المترددين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لى المجمع، غير أن المطعون ضدها استغلت الساحة مما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لحق الضرر بها، وقد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خطرتها بإخلائها من تلك السيارات إلا أنها لم تستجب ولذلك فقد أقامت الدعوى بطلب ندب خبير 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ثبات الانتفاع بالساحة المذكورة وتقدير الأضرار التي أصابتها وطردها منها وتسليمها لها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حكمت المحكمة بعدم اختصاصها بنظر الدعوى. استأنفت الطاعنة هذا الحكم بالاستئناف رقم 1416 لسنة 2015 أمام المحكمة الكبرى المدنية بصفتها الاستئنافية التي حكمت بتأييد الحكم المستأنف، فطعنت الطاعنة في هذا الحكم بطريق التمييز والمكتب الفني أودع مذكرة برأيه في الطعن.</w:t>
      </w:r>
    </w:p>
    <w:p w:rsidR="00771224" w:rsidRPr="00E060C7" w:rsidRDefault="00771224" w:rsidP="0077122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الطاعنة تنعى بسبب الطعن على الحكم المطعون فيه مخالفة الثابت بالأوراق والقصور في التسبيب حين قضى بعدم اختصاص المحكمة بنظر الدعوى برمتها على سند من أن القضاء المستعجل لا يختص ب</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ثبات الوقائع المادية وأن الأوراق قد خلت من دليل جدي على أن المطعون ضدها تضع يدها بدون سند على المكان محل النزاع، مع أن شغل المطعون ضدها له بوضع السيارات الخاصة بها فيها هي واقعة مادية محتمل أن تكون محل نزاع بين الطرفين ويجوز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ثابتها، وقد قدمت </w:t>
      </w:r>
      <w:r w:rsidRPr="00E060C7">
        <w:rPr>
          <w:rFonts w:asciiTheme="majorBidi" w:hAnsiTheme="majorBidi" w:cstheme="majorBidi" w:hint="cs"/>
          <w:sz w:val="32"/>
          <w:szCs w:val="32"/>
          <w:rtl/>
          <w:lang w:bidi="ar-BH"/>
        </w:rPr>
        <w:t>ل</w:t>
      </w:r>
      <w:r w:rsidRPr="00E060C7">
        <w:rPr>
          <w:rFonts w:asciiTheme="majorBidi" w:hAnsiTheme="majorBidi" w:cstheme="majorBidi"/>
          <w:sz w:val="32"/>
          <w:szCs w:val="32"/>
          <w:rtl/>
          <w:lang w:bidi="ar-BH"/>
        </w:rPr>
        <w:t>لتدليل على ذلك صورا ف</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توغرافية لتلك السيارات وهي تستغل ساحة الانتظار محل التداع، وهو ما يعيبه ويستوجب نقضه.</w:t>
      </w:r>
    </w:p>
    <w:p w:rsidR="00771224" w:rsidRPr="00E060C7" w:rsidRDefault="00771224" w:rsidP="0077122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النعي بالنسبة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 xml:space="preserve">ى </w:t>
      </w:r>
      <w:r w:rsidRPr="00E060C7">
        <w:rPr>
          <w:rFonts w:asciiTheme="majorBidi" w:hAnsiTheme="majorBidi" w:cstheme="majorBidi"/>
          <w:sz w:val="32"/>
          <w:szCs w:val="32"/>
          <w:rtl/>
          <w:lang w:bidi="ar-BH"/>
        </w:rPr>
        <w:t>طلب طرد المطعون ضدها من العين محل النزاع مردود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 قاضي الأمور المستعجلة</w:t>
      </w:r>
    </w:p>
    <w:p w:rsidR="00771224" w:rsidRPr="00E060C7" w:rsidRDefault="00771224" w:rsidP="0077122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يختص بدعوى طرد حائز العقار إذا توافر شرط الاستعجال وقام دليل جدي من ظاهر المستندات على أنه يضع يده عليه بغير سند من القانون، فإذا اتضح له من الأوراق المطروحة أمامه أنها لا تكفي لتكوين عقيدته في ترجيح إحدى وجهتي النظر على الأخرى وأن هذا الترجيح يتطلب تعمقا موضوعيا في البحث، تعين عليه أن يقضي بعدم اختصاصه بنظر الدعوى حتى لا يمس أصل الحق الممتنع على القضاء المستعجل. لما كان ذلك وكان الحكم الابتدائي المؤيد بالحكم المطعون فيه قد أقام قضاءه بعدم اختصاص القضاء المستعجل بنظر طلب طرد المطعون ضدها بنظر الدعوى على ما استخلصته المحكمة مما ظهر لها من الأوراق أنها خلت من </w:t>
      </w:r>
      <w:r w:rsidRPr="00E060C7">
        <w:rPr>
          <w:rFonts w:asciiTheme="majorBidi" w:hAnsiTheme="majorBidi" w:cstheme="majorBidi" w:hint="cs"/>
          <w:sz w:val="32"/>
          <w:szCs w:val="32"/>
          <w:rtl/>
          <w:lang w:bidi="ar-BH"/>
        </w:rPr>
        <w:t>أي</w:t>
      </w:r>
      <w:r w:rsidRPr="00E060C7">
        <w:rPr>
          <w:rFonts w:asciiTheme="majorBidi" w:hAnsiTheme="majorBidi" w:cstheme="majorBidi"/>
          <w:sz w:val="32"/>
          <w:szCs w:val="32"/>
          <w:rtl/>
          <w:lang w:bidi="ar-BH"/>
        </w:rPr>
        <w:t xml:space="preserve"> دليل جدي يفيد أن للمطعون ضدها سند</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في وضع يدها على ساحة الانتظار محل التداعي من عدمه، وأن من شأن التحقق من ذلك يقتض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بحثا متعمقا في موضوع النزاع لا يملكه قاضي الأمور المستعجلة مما ينحسر اختصاصه بنظر الدعوى لما في ذلك </w:t>
      </w:r>
      <w:r w:rsidRPr="00E060C7">
        <w:rPr>
          <w:rFonts w:asciiTheme="majorBidi" w:hAnsiTheme="majorBidi" w:cstheme="majorBidi" w:hint="cs"/>
          <w:sz w:val="32"/>
          <w:szCs w:val="32"/>
          <w:rtl/>
          <w:lang w:bidi="ar-BH"/>
        </w:rPr>
        <w:t>من</w:t>
      </w:r>
      <w:r w:rsidRPr="00E060C7">
        <w:rPr>
          <w:rFonts w:asciiTheme="majorBidi" w:hAnsiTheme="majorBidi" w:cstheme="majorBidi"/>
          <w:sz w:val="32"/>
          <w:szCs w:val="32"/>
          <w:rtl/>
          <w:lang w:bidi="ar-BH"/>
        </w:rPr>
        <w:t>مساس بأصل الحق، وكان هذا الذي خلص إليه الحكم سائغا له ما يؤيده من ظاهر الأوراق ويكفي لحمل قضائه فإن النعي عليه في هذا الخصوص يكون على غير أساس. أما بشأن طلب إثبات الحالة وتقدير الضرر فهو في محله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 دعوى إثبات الحالة – وعلى ما جرى به نص المادة 131 من قانون الاثبات واستقر عليه قضاء هذه المحكمة – هي إجراء تحفظي يصور حالة مادية يتعذر إثباتها مستقبلا صيانة للدليل المثبت للحق من خطر الضياع و</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 تكون الحالة المراد إثباتها قابلة للتغيير زيادة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و نقصان</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من وقت لاَخر أو أن تكون عرضة للزوال بفعل الزمن أو الطبيعة او يخشى أن </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ضيع كل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و بعض آثارها إذ طرح أصل النزاع أمام القضاء العادي</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وكان الحكم المطعون فيه قد خالف هذا النظر وقضى بعدم اختصاص</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القضاء المستعجل بنظر طلب إثبات الحالة على ما ذهب اليه من أنه لا يجوز للقاضي المستعجل أن ينتقل للمعاينة أو ندب غيره 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ثبات واقعة مادية متنازع عليه تمهيدًا للفصل فيها لمساس ذلك بأصل الحق فإنه يكون قد خالف القانون بما يوجب نقضه في هذا الخصوص.</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1F"/>
    <w:rsid w:val="0003272B"/>
    <w:rsid w:val="00771224"/>
    <w:rsid w:val="00881E95"/>
    <w:rsid w:val="00CF63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22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22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2020-04-21T11:59:00Z</dcterms:created>
  <dcterms:modified xsi:type="dcterms:W3CDTF">2020-04-21T11:59:00Z</dcterms:modified>
</cp:coreProperties>
</file>