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AC" w:rsidRPr="00E060C7" w:rsidRDefault="00D154AC" w:rsidP="00D154AC">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21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D154AC" w:rsidRPr="00E060C7" w:rsidRDefault="00D154AC" w:rsidP="00D154A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د. طه عبدالمولى طه</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إبراهيم محمد المرصفاوي ، عدنان عبدالله الشيخ هزيم الشامسي، محمد حسن البوعينين   </w:t>
      </w:r>
    </w:p>
    <w:p w:rsidR="00D154AC" w:rsidRPr="00E060C7" w:rsidRDefault="00D154AC" w:rsidP="00D154A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154AC" w:rsidRPr="00E060C7" w:rsidRDefault="00D154AC" w:rsidP="00D154A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130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D154AC" w:rsidRPr="00E060C7" w:rsidRDefault="00D154AC" w:rsidP="00D154A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w:t>
      </w:r>
      <w:r w:rsidRPr="00E060C7">
        <w:rPr>
          <w:rFonts w:asciiTheme="majorBidi" w:hAnsiTheme="majorBidi" w:cstheme="majorBidi"/>
          <w:b/>
          <w:bCs/>
          <w:sz w:val="32"/>
          <w:szCs w:val="32"/>
          <w:lang w:bidi="ar-BH"/>
        </w:rPr>
        <w:t>916</w:t>
      </w:r>
      <w:r w:rsidRPr="00E060C7">
        <w:rPr>
          <w:rFonts w:asciiTheme="majorBidi" w:hAnsiTheme="majorBidi" w:cstheme="majorBidi"/>
          <w:b/>
          <w:bCs/>
          <w:sz w:val="32"/>
          <w:szCs w:val="32"/>
          <w:rtl/>
          <w:lang w:bidi="ar-BH"/>
        </w:rPr>
        <w:t xml:space="preserve"> لسنة 2015 </w:t>
      </w:r>
    </w:p>
    <w:p w:rsidR="00D154AC" w:rsidRPr="00E060C7" w:rsidRDefault="00D154AC" w:rsidP="00D154AC">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2) أسماء وألقاب . حكم " الطعن فى الأحكام " . </w:t>
      </w:r>
    </w:p>
    <w:p w:rsidR="00D154AC" w:rsidRPr="00E060C7" w:rsidRDefault="00D154AC" w:rsidP="00D154A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قبول إدارة الصحة العامة الأحكام الصادر</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دعاوى اكتساب وتعديل الأسماء وال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لقاب</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للإدارة العامة للجنسية والجوازات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قامة الطعن على هذه الأحكام متى شاءت . علة ذلك .  </w:t>
      </w:r>
    </w:p>
    <w:p w:rsidR="00D154AC" w:rsidRPr="00E060C7" w:rsidRDefault="00D154AC" w:rsidP="00D154AC">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D154AC" w:rsidRPr="00E060C7" w:rsidRDefault="00D154AC" w:rsidP="00D154AC">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الاسم الشخص</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مفرداته . اسم الشخص يكون رباعيا إذا لم يكن له لقب . عدم جواز تعديل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سماء أصول الشخص الثابته بالسجلات الرسمية بالإضافة أو الحذف أو تضمينها أسماء شهرة أو مستعار</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 انصراف ذلك إلى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سم الأب والجد لأب وإن علا إن لم يكن لعائلتهم لقب . المادة الأولى ق رقم 26 لسنة 2000 بشأن تنظيم إجراءات اكتساب الأسماء والألقاب .    </w:t>
      </w:r>
    </w:p>
    <w:p w:rsidR="00D154AC" w:rsidRPr="00E060C7" w:rsidRDefault="00D154AC" w:rsidP="00D154AC">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154AC" w:rsidRPr="00E060C7" w:rsidRDefault="00D154AC" w:rsidP="00D154A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لئن كان قضاء هذه المحكمة قد جرى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قبول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داره الصحة العامة الحكم الصادر في دعاوى اكتساب وتعديل الأسماء والألقاب المرفوعة استنادا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لمرسوم بقانون رقم 26 لسنة 2000 يكسب الحكم حجي</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تمنع الإدارة العامة للجنسية والجوازات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قامة من الطعن عليه، إلا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المحكمة قد عدلت عن هذا الاتجاه لاحقا و</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جازت لهذه الجهة الطعن على هذه الأحكام باعتبارها خصما أصيلا في الدعوى ويكون لها الحق في الطعن عليها متى شاءت . </w:t>
      </w:r>
    </w:p>
    <w:p w:rsidR="00D154AC" w:rsidRPr="00E060C7" w:rsidRDefault="00D154AC" w:rsidP="00D154AC">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2- من المقرر أن مفاد نص المادة الأولى من المرسوم بقانون رقم 26 لسنة 2000 بشأن تنظيم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اكتساب الأسماء والألقاب أن يكون لكل شخص اسم يتكون من اسمه الشخصي واسم أبيه وجده لأبيه ولقب عائلته، فإن لم يكن له لقب فيكون اسمه رباعيا، ولا يجوز تعديل أسماء أصول الشخص الثابتة بالسجلات الرسمية بالإضافة أو الحذف أو تضمينها أسماء شهرة أو مستعارة، كما أن مفاد نص الفقرة الثالثة من المادة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 xml:space="preserve">سالفة الذكر التي تضمنت عدم جواز تعديل أسماء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صول الشخص الثابتة بالسجلات الرسمية بالإضافة أو الحذف ينصرف وعلى ما أجابت عنه الفقرة الأولى من ذات المادة ل</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سم الأب والجد لأب و</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ن علا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لم يكن لعائلتهم لقب . </w:t>
      </w:r>
    </w:p>
    <w:p w:rsidR="00D154AC" w:rsidRPr="00E060C7" w:rsidRDefault="00D154AC" w:rsidP="00D154AC">
      <w:pPr>
        <w:tabs>
          <w:tab w:val="left" w:pos="708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154AC" w:rsidRPr="00E060C7" w:rsidRDefault="00D154AC" w:rsidP="00D154AC">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حيث إن الطعن استوفى أوضاعه الشكلية.</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الوقائع</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كما يبين من الحكم المطعون فيه وسائر الأوراق – تتحصل في أن المطعون ضده الأول عن نفسه بولايته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الطبيعية عن أبنائه القصر أقام على الطاعنة والمطعون ضدهما الثانية والثالثة الدعوى رقم 2383 لسنة 2010 أمام المحكمة الصغرى المدنية بطلب الحكم بإلزام المطعون ضدها الثالثة بحذف اللقب " --------- " في الوثيقة العقارية برقم ----------- برقم المقدمة ---/1997 وب</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لزام الطاعنة والمطعون ضدها الثانية بحذف هذا اللقب وكذا الاسم الثالث " -------- " في جواز</w:t>
      </w:r>
      <w:r w:rsidRPr="00E060C7">
        <w:rPr>
          <w:rFonts w:asciiTheme="majorBidi" w:hAnsiTheme="majorBidi" w:cstheme="majorBidi" w:hint="cs"/>
          <w:sz w:val="32"/>
          <w:szCs w:val="32"/>
          <w:rtl/>
          <w:lang w:bidi="ar-BH"/>
        </w:rPr>
        <w:t>ات</w:t>
      </w:r>
      <w:r w:rsidRPr="00E060C7">
        <w:rPr>
          <w:rFonts w:asciiTheme="majorBidi" w:hAnsiTheme="majorBidi" w:cstheme="majorBidi"/>
          <w:sz w:val="32"/>
          <w:szCs w:val="32"/>
          <w:rtl/>
          <w:lang w:bidi="ar-BH"/>
        </w:rPr>
        <w:t xml:space="preserve"> سفرهم وشهادات ميلادهم وتسجيل ذلك في سجلاتهم الرسمية. أحالت المحكمة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لى اللجنة المختصة بتنظيم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دعاوى اكتساب الأسماء والألقاب وتعديلها وبعد أن قدمت تقريرها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جابتهم لطلباتهم بحكم استأنفته الطاعنة بالاستئناف رقم 655 لسنة 2015 وفيه قضت المحكمة الكبرى المدنية – بصفتها الاستئنافية - بتأييد الحكم المستأنف. طعنت الطاعنة في هذا الحكم بطريق التمييز وقدم المكتب الفني مذكرة برأيه في الطعن.</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مما تنعاه الطاعنة على الحكم المطعون فيه مخالفة القانون والخطأ في تطبيقه والقصور في التسبيب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ذ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يد الحكم المستأنف فيما قضى به من إلزامها والمطعون ضدها الثانية بحذف لقب ----------- في جواز</w:t>
      </w:r>
      <w:r w:rsidRPr="00E060C7">
        <w:rPr>
          <w:rFonts w:asciiTheme="majorBidi" w:hAnsiTheme="majorBidi" w:cstheme="majorBidi" w:hint="cs"/>
          <w:sz w:val="32"/>
          <w:szCs w:val="32"/>
          <w:rtl/>
          <w:lang w:bidi="ar-BH"/>
        </w:rPr>
        <w:t>ات</w:t>
      </w:r>
      <w:r w:rsidRPr="00E060C7">
        <w:rPr>
          <w:rFonts w:asciiTheme="majorBidi" w:hAnsiTheme="majorBidi" w:cstheme="majorBidi"/>
          <w:sz w:val="32"/>
          <w:szCs w:val="32"/>
          <w:rtl/>
          <w:lang w:bidi="ar-BH"/>
        </w:rPr>
        <w:t xml:space="preserve"> سفر وشهادات ميلاد المطعون ضده وأولاده القصر كما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لزمها والمطعون ضدها الثانية بحذف اسم --------- في الوثائق العقارية الخاصة بالأبناء القصر وتسجيل ذلك في سجلاتهما الرسمية  أخذا بحجية الحكم الابتدائي عندما قبلته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دارة الصحة العامة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الطعن عليه ب</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ق</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له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حاز</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قوة الأمر المقضي خلافا للمادة 6 من القانون رقم 26 لسنة 2000 بشأن تنظيم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جراءات 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اكتساب الأسماء والألقاب التي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جازت للطاعنة والمطعون ضدها الثانية الطعن في الحكم انفرادا بالطرق المقررة قانونا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ولما كان لا يجوز</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تعديل أسماء الشخص الثابتة بالسجلات الرسمية بالإضافة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و الحذف،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الحكم المطعون فيه إذ أيد الحكم الابتدائي فيما قضى به يكون معيبا بما يستوجب نقضه. </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ان هذا النعي في محله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نه ولئن كان قضاء هذه المحكمة قد جرى على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ن قبول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دار</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الصحة العامة الحكم الصادر في دعاوى اكتساب وتعديل الأسماء والألقاب المرفوعة استنادا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 xml:space="preserve">ى </w:t>
      </w:r>
      <w:r w:rsidRPr="00E060C7">
        <w:rPr>
          <w:rFonts w:asciiTheme="majorBidi" w:hAnsiTheme="majorBidi" w:cstheme="majorBidi"/>
          <w:sz w:val="32"/>
          <w:szCs w:val="32"/>
          <w:rtl/>
          <w:lang w:bidi="ar-BH"/>
        </w:rPr>
        <w:t>لمرسوم بقانون رقم 26 لسنة 2000 يكسب الحكم حجي</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تمنع الإدارة العامة للجنسية والجوازات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قامة من الطعن عليه، إلا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 المحكمة قد عدلت عن هذا الاتجاه لاحقا و</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جازت لهذه الجهة الطعن على هذه الأحكام باعتبارها خصما أصيلا في الدعوى ويكون لها الحق في الطعن عليها متى شاءت، وكان مفاد نص المادة الأولى من المرسوم بقانون رقم 26 لسنة 2000 بشأن تنظيم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اكتساب الأسماء والألقاب أن يكون لكل شخص اسم يتكون من اسمه الشخصي واسم أبيه وجده لأبيه ولقب عائلته، فإن لم يكن له لقب فيكون اسمه رباعيا، ولا يجوز تعديل أسماء أصول الشخص الثابتة بالسجلات الرسمية بالإضافة أو الحذف أو تضمينها أسماء شهرة أو مستعارة، كما أن مفاد نص الفقرة الثالثة من المادة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الذكر التي تضمنت عدم جواز تعديل أسماء أصول الشخص الثابتة بالسجلات الرسمية بالإضافة أو الحذف ينصرف</w:t>
      </w:r>
      <w:r w:rsidRPr="00E060C7">
        <w:rPr>
          <w:rFonts w:asciiTheme="majorBidi" w:hAnsiTheme="majorBidi" w:cstheme="majorBidi" w:hint="cs"/>
          <w:sz w:val="32"/>
          <w:szCs w:val="32"/>
          <w:rtl/>
          <w:lang w:bidi="ar-BH"/>
        </w:rPr>
        <w:t xml:space="preserve"> ـ</w:t>
      </w:r>
      <w:r w:rsidRPr="00E060C7">
        <w:rPr>
          <w:rFonts w:asciiTheme="majorBidi" w:hAnsiTheme="majorBidi" w:cstheme="majorBidi"/>
          <w:sz w:val="32"/>
          <w:szCs w:val="32"/>
          <w:rtl/>
          <w:lang w:bidi="ar-BH"/>
        </w:rPr>
        <w:t xml:space="preserve"> وعلى ما أجابت عنه الفقرة الأولى من ذات المادة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ل</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سم </w:t>
      </w:r>
      <w:r w:rsidRPr="00E060C7">
        <w:rPr>
          <w:rFonts w:asciiTheme="majorBidi" w:hAnsiTheme="majorBidi" w:cstheme="majorBidi" w:hint="cs"/>
          <w:sz w:val="32"/>
          <w:szCs w:val="32"/>
          <w:rtl/>
          <w:lang w:bidi="ar-BH"/>
        </w:rPr>
        <w:t xml:space="preserve">ـ </w:t>
      </w:r>
      <w:r w:rsidRPr="00E060C7">
        <w:rPr>
          <w:rFonts w:asciiTheme="majorBidi" w:hAnsiTheme="majorBidi" w:cstheme="majorBidi"/>
          <w:sz w:val="32"/>
          <w:szCs w:val="32"/>
          <w:rtl/>
          <w:lang w:bidi="ar-BH"/>
        </w:rPr>
        <w:t>الأب والجد لأب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علا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لم يكن لعائلتهم لقب</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وكانت طلبات المطعون ضده ه</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إلزام المطعون ضدهما الأولى والثالث بحذف لقب " -------- " الثابت بوثائق الملكية الخاصة به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وبأولاده القصر وبإلزام الطاعنة والمطعون ضدها الثانية بحذف هذا اللقب والاسم الثالث " -------" في جواز سفره وجوازات سفر أولاده القصر وفي شهاد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ميلاده وشهادات ميلاد أولاده القصر وتسجيل ذلك في سجلاتهما الرسمية وهو ما يمنعه القانون من إجراء هذا الحذف أو التعديل في الأسماء والألقاب وتسجيلها في السجلات الرسمية، وإذ خالف الحكم المطعون فيه هذا النظر وأيد الحكم الابتدائي فيما قضى به، فإنه يكون قد أخطأ في تطبيق القانون</w:t>
      </w:r>
      <w:r w:rsidRPr="00E060C7">
        <w:rPr>
          <w:rFonts w:asciiTheme="majorBidi" w:hAnsiTheme="majorBidi" w:cstheme="majorBidi" w:hint="cs"/>
          <w:sz w:val="32"/>
          <w:szCs w:val="32"/>
          <w:rtl/>
          <w:lang w:bidi="ar-BH"/>
        </w:rPr>
        <w:t xml:space="preserve">. </w:t>
      </w:r>
    </w:p>
    <w:p w:rsidR="00D154AC" w:rsidRPr="00E060C7" w:rsidRDefault="00D154AC" w:rsidP="00D154AC">
      <w:pPr>
        <w:tabs>
          <w:tab w:val="right" w:pos="6819"/>
          <w:tab w:val="right" w:pos="708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ولما تقدم، ف</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يتعين القضاء بنقض الحكم المطعون فيه وإلزام المطعون  ضده الأول بمصاريف الطعن.</w:t>
      </w:r>
    </w:p>
    <w:p w:rsidR="00881E95" w:rsidRDefault="00D154AC" w:rsidP="00D154AC">
      <w:pPr>
        <w:rPr>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الموضوع صالح للفصل فيه، فانه يتعين القضاء في موضوع الاستئناف بإلغاء الحكم المستأنف والقضاء مجدداً برفض الدعوى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وألزمت المستأنف ضده الأول بالمصاريف عن درجتي التقاضي.</w:t>
      </w: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AA"/>
    <w:rsid w:val="0003272B"/>
    <w:rsid w:val="00534AAA"/>
    <w:rsid w:val="00881E95"/>
    <w:rsid w:val="00D15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2020-04-21T11:53:00Z</dcterms:created>
  <dcterms:modified xsi:type="dcterms:W3CDTF">2020-04-21T11:53:00Z</dcterms:modified>
</cp:coreProperties>
</file>