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87" w:rsidRPr="00827DA0" w:rsidRDefault="00B51F87" w:rsidP="00B51F87">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جلسة 28 من فبراير سنة 2017</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المستشار طه عبدالمول</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طه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نادر السيد علي عبدالمطلب،</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إبراهيم محمد المرصفاوي ،عدنان عبدالله الشيخ هزيم الشامسي</w:t>
      </w:r>
      <w:r w:rsidRPr="00827DA0">
        <w:rPr>
          <w:rFonts w:asciiTheme="majorBidi" w:hAnsiTheme="majorBidi" w:cstheme="majorBidi" w:hint="cs"/>
          <w:sz w:val="32"/>
          <w:szCs w:val="32"/>
          <w:rtl/>
          <w:lang w:bidi="ar-BH"/>
        </w:rPr>
        <w:t>.</w:t>
      </w:r>
    </w:p>
    <w:p w:rsidR="00B51F87" w:rsidRPr="00827DA0" w:rsidRDefault="00B51F87" w:rsidP="00B51F87">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B51F87" w:rsidRPr="00827DA0" w:rsidRDefault="00B51F87" w:rsidP="00B51F87">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79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B51F87" w:rsidRPr="00827DA0" w:rsidRDefault="00B51F87" w:rsidP="00B51F87">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923 لسنة 2014 </w:t>
      </w:r>
    </w:p>
    <w:p w:rsidR="00B51F87" w:rsidRPr="00827DA0" w:rsidRDefault="00B51F87" w:rsidP="00B51F87">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(1-3) حكم . عمل . محكمة الموضوع. </w:t>
      </w:r>
    </w:p>
    <w:p w:rsidR="00B51F87" w:rsidRPr="00827DA0" w:rsidRDefault="00B51F87" w:rsidP="00B51F87">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 (1) تبعية العامل لصاحب العمل متمثلة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خضوعه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دارته وإشرافه . عنصر أساس</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فى عقد العمل لا تقوم علاقة العمل بدونه . توافرها أو عدم توافرها من سلطة محكمة الموضوع.</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(2) قضاء الحكم المطعون فيه برفض الدعوى تأسيسا على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نتفاء مسئولية المطعون ضدها الأولى </w:t>
      </w:r>
      <w:r w:rsidRPr="00827DA0">
        <w:rPr>
          <w:rFonts w:asciiTheme="majorBidi" w:hAnsiTheme="majorBidi" w:cstheme="majorBidi" w:hint="cs"/>
          <w:sz w:val="32"/>
          <w:szCs w:val="32"/>
          <w:rtl/>
          <w:lang w:bidi="ar-BH"/>
        </w:rPr>
        <w:t>عن انتفاء</w:t>
      </w:r>
      <w:r w:rsidRPr="00827DA0">
        <w:rPr>
          <w:rFonts w:asciiTheme="majorBidi" w:hAnsiTheme="majorBidi" w:cstheme="majorBidi"/>
          <w:sz w:val="32"/>
          <w:szCs w:val="32"/>
          <w:rtl/>
          <w:lang w:bidi="ar-BH"/>
        </w:rPr>
        <w:t xml:space="preserve"> تبعية مورث الطاعنين لها حال عمله وقت الحادث أخذا من إفادة المطعون ضده الثان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بمحضر الشرط</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من أن مورثهم والعامل المرافق له لم يكونا تابعين إلى 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شركة وأنهما كانا يعملان لحسابه الخاص وعدم تقديم الطاعن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ون دليل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رغم تمكين المحكمة لهم ذلك بإحالة الدعوى للتحقيق . صحيح .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 جدل موضوع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w:t>
      </w:r>
    </w:p>
    <w:p w:rsidR="00B51F87" w:rsidRPr="00827DA0" w:rsidRDefault="00B51F87" w:rsidP="00B51F87">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 (3) العمال الذين يستخدمون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أعمال عرضية مؤقت</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لا تدخل بطبيعتها فيما يزاوله صاحب العمل ولا تستغرق اكثر من ثلاثة أشهر</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استثنا</w:t>
      </w:r>
      <w:r w:rsidRPr="00827DA0">
        <w:rPr>
          <w:rFonts w:asciiTheme="majorBidi" w:hAnsiTheme="majorBidi" w:cstheme="majorBidi" w:hint="cs"/>
          <w:sz w:val="32"/>
          <w:szCs w:val="32"/>
          <w:rtl/>
          <w:lang w:bidi="ar-BH"/>
        </w:rPr>
        <w:t>ؤ</w:t>
      </w:r>
      <w:r w:rsidRPr="00827DA0">
        <w:rPr>
          <w:rFonts w:asciiTheme="majorBidi" w:hAnsiTheme="majorBidi" w:cstheme="majorBidi"/>
          <w:sz w:val="32"/>
          <w:szCs w:val="32"/>
          <w:rtl/>
          <w:lang w:bidi="ar-BH"/>
        </w:rPr>
        <w:t>هم من تطبيق أحكام م2/3 ق العمل الصادر بالمرسوم بق رقم 23 لسنة 1976 . ثبوت استخدام المطعون ضده الثانى لمورث الطاعنين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عمل عرض</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بمنزل المطعون ضده الثان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فيما يزاوله صاحب العمل وأن إنجازه لا يستغرق وقتا يزيد ع</w:t>
      </w:r>
      <w:r w:rsidRPr="00827DA0">
        <w:rPr>
          <w:rFonts w:asciiTheme="majorBidi" w:hAnsiTheme="majorBidi" w:cstheme="majorBidi" w:hint="cs"/>
          <w:sz w:val="32"/>
          <w:szCs w:val="32"/>
          <w:rtl/>
          <w:lang w:bidi="ar-BH"/>
        </w:rPr>
        <w:t>لى</w:t>
      </w:r>
      <w:r w:rsidRPr="00827DA0">
        <w:rPr>
          <w:rFonts w:asciiTheme="majorBidi" w:hAnsiTheme="majorBidi" w:cstheme="majorBidi"/>
          <w:sz w:val="32"/>
          <w:szCs w:val="32"/>
          <w:rtl/>
          <w:lang w:bidi="ar-BH"/>
        </w:rPr>
        <w:t xml:space="preserve"> يوم واحد فى تنفيذه . اعتباره مستثنى من تطبيق أحكام قانون العمل . خلو الأوراق من 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دليل على أن سقوط مورث الطاعنين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مكان الحادث يرجع سببه إلى خطأ تقصير</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من قبل المطعون ضده الثان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وأنه كان يعمل تحت إشرافه ورقابته مما ينتف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معه ركن الخطأ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حقه . </w:t>
      </w:r>
      <w:r w:rsidRPr="00827DA0">
        <w:rPr>
          <w:rFonts w:asciiTheme="majorBidi" w:hAnsiTheme="majorBidi" w:cstheme="majorBidi" w:hint="cs"/>
          <w:sz w:val="32"/>
          <w:szCs w:val="32"/>
          <w:rtl/>
          <w:lang w:bidi="ar-BH"/>
        </w:rPr>
        <w:lastRenderedPageBreak/>
        <w:t>ا</w:t>
      </w:r>
      <w:r w:rsidRPr="00827DA0">
        <w:rPr>
          <w:rFonts w:asciiTheme="majorBidi" w:hAnsiTheme="majorBidi" w:cstheme="majorBidi"/>
          <w:sz w:val="32"/>
          <w:szCs w:val="32"/>
          <w:rtl/>
          <w:lang w:bidi="ar-BH"/>
        </w:rPr>
        <w:t>نتهاء الحكم المطعون فيه إلى هذه النتيجة . صحيح . ما يثيره الطاعنون</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غير منتج . غير مقبول.</w:t>
      </w:r>
    </w:p>
    <w:p w:rsidR="00B51F87" w:rsidRPr="00827DA0" w:rsidRDefault="00B51F87" w:rsidP="00B51F87">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1F87" w:rsidRPr="00827DA0" w:rsidRDefault="00B51F87" w:rsidP="00B51F87">
      <w:pPr>
        <w:tabs>
          <w:tab w:val="left" w:pos="1785"/>
          <w:tab w:val="left" w:pos="1852"/>
          <w:tab w:val="left" w:pos="2783"/>
          <w:tab w:val="left" w:pos="3279"/>
          <w:tab w:val="center" w:pos="4061"/>
        </w:tabs>
        <w:bidi/>
        <w:spacing w:after="0" w:line="360" w:lineRule="auto"/>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B51F87" w:rsidRPr="00827DA0" w:rsidRDefault="00B51F87" w:rsidP="00B51F87">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المقرر أن تبعية العامل لصاحب العمل متمثلة في خضوعه لإدارته وإشرافه هي عنصر أساسي في عقد العمل ولا تقوم علاقة العمل بدونه وكان توافرها أو عدم توافرها في العلاقة بين الطرفين مسألة موضوعية تستقل محكمة الموضوع باستخلاصها من الظروف والملابسات المحيطة بالعمل</w:t>
      </w:r>
      <w:r w:rsidRPr="00827DA0">
        <w:rPr>
          <w:rFonts w:asciiTheme="majorBidi" w:hAnsiTheme="majorBidi" w:cstheme="majorBidi"/>
          <w:sz w:val="32"/>
          <w:szCs w:val="32"/>
          <w:lang w:bidi="ar-BH"/>
        </w:rPr>
        <w:t xml:space="preserve"> .</w:t>
      </w:r>
    </w:p>
    <w:p w:rsidR="00B51F87" w:rsidRPr="00827DA0" w:rsidRDefault="00B51F87" w:rsidP="00B51F87">
      <w:pPr>
        <w:numPr>
          <w:ilvl w:val="0"/>
          <w:numId w:val="1"/>
        </w:numPr>
        <w:bidi/>
        <w:spacing w:after="0" w:line="360" w:lineRule="auto"/>
        <w:ind w:left="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اذ وكان</w:t>
      </w:r>
      <w:r w:rsidRPr="00827DA0">
        <w:rPr>
          <w:rFonts w:asciiTheme="majorBidi" w:hAnsiTheme="majorBidi" w:cstheme="majorBidi" w:hint="cs"/>
          <w:sz w:val="32"/>
          <w:szCs w:val="32"/>
          <w:rtl/>
          <w:lang w:bidi="ar-BH"/>
        </w:rPr>
        <w:t xml:space="preserve"> ذلك،</w:t>
      </w:r>
      <w:r w:rsidRPr="00827DA0">
        <w:rPr>
          <w:rFonts w:asciiTheme="majorBidi" w:hAnsiTheme="majorBidi" w:cstheme="majorBidi"/>
          <w:sz w:val="32"/>
          <w:szCs w:val="32"/>
          <w:rtl/>
          <w:lang w:bidi="ar-BH"/>
        </w:rPr>
        <w:t xml:space="preserve"> الحكم المطعون فيه وبما لمحكمة الموضوع من سلطة في تقدير الأدلة المطروحة عليه</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لاستخلاص الواقع منها قد أقام قضاءه بنفي مسئولية المطعون ضدها الأولى لانتفاء تبعية مورث الطاعنين لها حال عمله وقت الحادث على ما اطمأنت المحكمة إليه من إفادة المطعون ضده الثاني بمحضر الشرطة المؤرخ 4/12/2006 من أن مورثهم والعامل المرافق له لم يكونا تابعين إلى أي شركة وأنهما كانا يعملان لحسابهما الخاص وأن ما ورد ببطاقة المورث السكانية و</w:t>
      </w:r>
      <w:r w:rsidRPr="00827DA0">
        <w:rPr>
          <w:rFonts w:asciiTheme="majorBidi" w:hAnsiTheme="majorBidi" w:cstheme="majorBidi" w:hint="cs"/>
          <w:sz w:val="32"/>
          <w:szCs w:val="32"/>
          <w:rtl/>
          <w:lang w:bidi="ar-BH"/>
        </w:rPr>
        <w:t>كت</w:t>
      </w:r>
      <w:r w:rsidRPr="00827DA0">
        <w:rPr>
          <w:rFonts w:asciiTheme="majorBidi" w:hAnsiTheme="majorBidi" w:cstheme="majorBidi"/>
          <w:sz w:val="32"/>
          <w:szCs w:val="32"/>
          <w:rtl/>
          <w:lang w:bidi="ar-BH"/>
        </w:rPr>
        <w:t>اب الهيئة العامة للتأمين الاجتماعي من أنه كان مؤمنا عليه من قبل المطعون ضدها الأولى ويعمل تحت كفالتها لا ينهض دليلا على أن قيامه بالعمل الذي أصيب من خلاله وقت الحادث كان بتكليف من صاحب المطعون ضدها الأولى وهو ما لم يقدم الطاعنون أي دليل عليه رغم تمكين المحكمة لهم ذلك بإحالة الدعوى إلى التحقيق. وكان هذا الاستخلاص سائغا وله أصل ثابت بالأوراق ويكفي لحمل قضائه فإن ما يثيره الطاعن في هذا الشأن لا يعدو أن يكون جدلا فيما لمحكمة الموضوع من سلطة في فهم الواقع وهو ما لا يجوز التحدي به أمام هذه المحكمة.</w:t>
      </w:r>
    </w:p>
    <w:p w:rsidR="00B51F87" w:rsidRPr="00827DA0" w:rsidRDefault="00B51F87" w:rsidP="00B51F87">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ab/>
      </w:r>
    </w:p>
    <w:p w:rsidR="00B51F87" w:rsidRPr="00827DA0" w:rsidRDefault="00B51F87" w:rsidP="00B51F87">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ن الفقرة الثالثة من المادة الثانية من قانون العمل في القطاع الأهلي الصادر بالمرسوم بقانون رقم 23 لسنة 1976 – المعمول به في تاريخ الحادث – استثنت من تطبيق أحكامه طائفة العمال الذين يستخدمون في أعمال عرضية مؤقتة لا تدخل بطبيعتها فيما يزاوله صاحب العمل ولا تستغرق أكثر من ثلاثة أشهر </w:t>
      </w:r>
      <w:r w:rsidRPr="00827DA0">
        <w:rPr>
          <w:rFonts w:asciiTheme="majorBidi" w:hAnsiTheme="majorBidi" w:cstheme="majorBidi"/>
          <w:sz w:val="32"/>
          <w:szCs w:val="32"/>
          <w:lang w:bidi="ar-BH"/>
        </w:rPr>
        <w:t>.</w:t>
      </w:r>
    </w:p>
    <w:p w:rsidR="00B51F87" w:rsidRPr="00827DA0" w:rsidRDefault="00B51F87" w:rsidP="00B51F87">
      <w:pPr>
        <w:numPr>
          <w:ilvl w:val="0"/>
          <w:numId w:val="1"/>
        </w:numPr>
        <w:bidi/>
        <w:spacing w:after="0" w:line="360" w:lineRule="auto"/>
        <w:ind w:left="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لما كان الواقع الثابت في الدعوى حسبما يبين من الاطلاع على تقرير قسم السلامة المهنية بوزارة العمل أن سبب إصابة مورث الطاعنين هو سقوطه من ارتفاع ثلاثة أمتار أثناء قيامه بإزالة الصفائح المعدنية من فوق مظلة موقف السيارات الخاص بمنزل المطعون ضده الثاني الذي لا يعد في حكم أصحاب الأعمال طبقا لقانون العمل وقد تعاقد مع مورث الطاعنين بصفة شخصية لإنجاز العمل وهو ما ثبت بأقوال من سئلوا في محضر الشرطة الذي يبين منه أن المطعون ضده الثاني يعمل مهندسا معماريا بالشركة وأنه عهد إلى مورث الطاعنين وآخر عملية إزالة الصفائح أعلى مظلة السيارات بمنزله وتركيب صفائح جديدة مكانها، وهو ما يستخلص من</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أن استخدام المطعون ضده الثاني لمورث الطاعنين عمل عرضي بمنزل المطعون ضده الثاني فيما يزاوله صاحب العمل وأن انجاز هذا العمل لا يستغرق وقتا يزيد على يوم واحد في تنفيذه فيكون مستثن</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منه تطبيق أحكام قانون العمل في القطاع الأهلي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 xml:space="preserve">سالف البيان طبقا لنص المادة الثانية منه ويخضع لأحكام القانون المدني التي خلت من النص على التزام صاحب العمل باتخاذ الاحتياطات اللازمة لحماية العامل من إخطار العمل والمنصوص عليها في المادة 90 من قانون العمل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سالف البيان</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وكانت الأوراق قد خلت من أي دليل على أن سقوط مورث الطاعنين في مكان الحادث يرجع سببه إلى خطأ تقصيري من قبل المطعون ضده الثاني وأنه كان يعمل تحت إشرافه ورقابته مما ينتفي معه ركن الخطأ في حقه وإذ انتهى الحكم المطعون فيه إلى هذه النتيجة فإن ما يثيره الطاعنون بشأن ثبوت علاقة العمل بين مورثهم والمطعون ضده الثاني وما خلص إليه الحكم في تكييفه للعلاقة بينهما على أنها مقاولة – أيا كان وجه الرأي فيه – يكون غير منتج ومن ثم غير مقبول.</w:t>
      </w:r>
    </w:p>
    <w:p w:rsidR="00B51F87" w:rsidRPr="00827DA0" w:rsidRDefault="00B51F87" w:rsidP="00B51F87">
      <w:pPr>
        <w:tabs>
          <w:tab w:val="left" w:pos="720"/>
          <w:tab w:val="left" w:pos="3244"/>
          <w:tab w:val="left" w:pos="3414"/>
          <w:tab w:val="center" w:pos="4061"/>
        </w:tabs>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B51F87" w:rsidRPr="00827DA0" w:rsidRDefault="00B51F87" w:rsidP="00B51F87">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1F87" w:rsidRPr="00827DA0" w:rsidRDefault="00B51F87" w:rsidP="00B51F87">
      <w:pPr>
        <w:tabs>
          <w:tab w:val="left" w:pos="1785"/>
          <w:tab w:val="left" w:pos="1852"/>
          <w:tab w:val="left" w:pos="3557"/>
          <w:tab w:val="left" w:pos="3973"/>
          <w:tab w:val="left" w:pos="4008"/>
          <w:tab w:val="center" w:pos="4061"/>
        </w:tabs>
        <w:bidi/>
        <w:spacing w:after="0" w:line="360" w:lineRule="auto"/>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B51F87" w:rsidRPr="00827DA0" w:rsidRDefault="00B51F87" w:rsidP="00B51F87">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المحكمــة</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بعد الاطلاع على الأوراق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وسماع التقرير الذي تلاه القاضي المقرر</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وبعد المداولة.</w:t>
      </w:r>
    </w:p>
    <w:p w:rsidR="00B51F87" w:rsidRPr="00827DA0" w:rsidRDefault="00B51F87" w:rsidP="00B51F87">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ab/>
        <w:t>حيث إن الطعن استوفى أوضاعه الشكلية.</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وحيث إن الوقائع</w:t>
      </w:r>
      <w:r w:rsidRPr="00827DA0">
        <w:rPr>
          <w:rFonts w:asciiTheme="majorBidi" w:hAnsiTheme="majorBidi" w:cstheme="majorBidi"/>
          <w:sz w:val="32"/>
          <w:szCs w:val="32"/>
          <w:lang w:bidi="ar-BH"/>
        </w:rPr>
        <w:t xml:space="preserve">- </w:t>
      </w:r>
      <w:r w:rsidRPr="00827DA0">
        <w:rPr>
          <w:rFonts w:asciiTheme="majorBidi" w:hAnsiTheme="majorBidi" w:cstheme="majorBidi"/>
          <w:sz w:val="32"/>
          <w:szCs w:val="32"/>
          <w:rtl/>
          <w:lang w:bidi="ar-BH"/>
        </w:rPr>
        <w:t xml:space="preserve"> على ما يبين من الحكم المطعون فيه وسائر الأوراق - تتحصل في أن الطاعنين أقاموا على المطعون ضدهم الدعوى رقم 4847 لسنة 2009 أمام المحكمة الكبرى المدنية بطلب الحكم بإلزام المطعون ضدهما الأولى والثاني متضامنين بأن يؤديا </w:t>
      </w:r>
      <w:r w:rsidRPr="00827DA0">
        <w:rPr>
          <w:rFonts w:asciiTheme="majorBidi" w:hAnsiTheme="majorBidi" w:cstheme="majorBidi" w:hint="cs"/>
          <w:sz w:val="32"/>
          <w:szCs w:val="32"/>
          <w:rtl/>
          <w:lang w:bidi="ar-BH"/>
        </w:rPr>
        <w:t>إليهم</w:t>
      </w:r>
      <w:r w:rsidRPr="00827DA0">
        <w:rPr>
          <w:rFonts w:asciiTheme="majorBidi" w:hAnsiTheme="majorBidi" w:cstheme="majorBidi"/>
          <w:sz w:val="32"/>
          <w:szCs w:val="32"/>
          <w:rtl/>
          <w:lang w:bidi="ar-BH"/>
        </w:rPr>
        <w:t xml:space="preserve"> مبلغ 15000 دينار تعويضا ماديا ومبلغ 10000 دينار تعويضا أدبيا وموروثا وإلزام المطعون ضدها الثالثة بصرف منحة وفاة مورثهم بما يعادل أجر ستة أشهر ونفقات الجنازة والتعويض عن وفاة مورثهم بسبب إصابة العمل</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وقالوا شرحا لدعواهم إنه أثناء عمل مورثهم لدى المطعون ضده الثاني بكفالة المطعون ضدها الأولى سقط من علو على أرض في موقع العمل بسبب عدم اتباع المطعون ضده الثاني لإجراءات السلامة وأخذ الحيطة والحذر وتم نقله للمستشفى حتى توفي بتاريخ 6/1/2007</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رفضت المحكمة الدعوى بحكم استأنفه الطاعنون لدى محكمة الاستئناف العليا المدنية بالاستئناف رقم 1852 لسنة 2011 وفيه قضت برفضه وتأييد الحكم المستأنف. طعن عليه الطاعنون بطريق التمييز بالطعن رقم 773 لسنة 2011 وفيه نقضت محكمة التمييز الحكم المطعون فيه وأحالت القضية إلى المحكمة التي أصدرت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لحكم</w:t>
      </w:r>
      <w:r w:rsidRPr="00827DA0">
        <w:rPr>
          <w:rFonts w:asciiTheme="majorBidi" w:hAnsiTheme="majorBidi" w:cstheme="majorBidi" w:hint="cs"/>
          <w:sz w:val="32"/>
          <w:szCs w:val="32"/>
          <w:rtl/>
          <w:lang w:bidi="ar-BH"/>
        </w:rPr>
        <w:t xml:space="preserve"> لتحكم</w:t>
      </w:r>
      <w:r w:rsidRPr="00827DA0">
        <w:rPr>
          <w:rFonts w:asciiTheme="majorBidi" w:hAnsiTheme="majorBidi" w:cstheme="majorBidi"/>
          <w:sz w:val="32"/>
          <w:szCs w:val="32"/>
          <w:rtl/>
          <w:lang w:bidi="ar-BH"/>
        </w:rPr>
        <w:t xml:space="preserve"> فيها</w:t>
      </w:r>
      <w:r w:rsidRPr="00827DA0">
        <w:rPr>
          <w:rFonts w:asciiTheme="majorBidi" w:hAnsiTheme="majorBidi" w:cstheme="majorBidi" w:hint="cs"/>
          <w:sz w:val="32"/>
          <w:szCs w:val="32"/>
          <w:rtl/>
          <w:lang w:bidi="ar-BH"/>
        </w:rPr>
        <w:t xml:space="preserve"> في القضية</w:t>
      </w:r>
      <w:r w:rsidRPr="00827DA0">
        <w:rPr>
          <w:rFonts w:asciiTheme="majorBidi" w:hAnsiTheme="majorBidi" w:cstheme="majorBidi"/>
          <w:sz w:val="32"/>
          <w:szCs w:val="32"/>
          <w:rtl/>
          <w:lang w:bidi="ar-BH"/>
        </w:rPr>
        <w:t xml:space="preserve"> من جديد. وبعد أن أحالت محكمة الاستئناف العليا الدعوى إلى التحقيق ولم يحضر أي شهود قضت برفض الاستئناف وتأييد الحكم المستأنف</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طعن الطاعنون في هذا الحكم بطريق التمييز وقدم المكتب الفني مذكرة برأيه في الطعن. </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 xml:space="preserve">وحيث إن الطعن أقيم على ثلاثة أسباب ينعى الطاعنون بالسببين الأول والثاني على الحكم المطعون فيه القصور في التسبيب والفساد في الاستدلال حين أقام قضاءه بنفي مسئولية صاحب المؤسسة المطعون ضدها الأولى على عدم تقديمهم الدليل على أن قيام مورثهم بالعمل لدى المطعون ضده الثاني وقت الحادث كان بتكليف من صاحب تلك المؤسسة التي كانت تكفل مورثهم وتبعا بالعمل لديها رغم ثبوت علم ورضا الأخير حسبما تمسكوا في دفاعهم من قرائن على ذلك منها أن وقوع الحادث كان صباح يوم 4/12/2006 وهو يوم عمل فلم يكن بمكنة مورثهم أن يعمل لدى الغير بدون موافقة كفيله الذي لم يتخذ أي إجراء يدل على عدم رضاه بذلك فلم يتقدم ببلاغ هروب أو إنذار أو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لغاء تأمينه لدى المطعون ضدها الثالثة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كما اعتمد الحكم في نفيه علاقة التبعية بين مورثهم والمؤسسة المطعون ضدها الأولى وقت ارتكاب الحادث على أقوال المطعون ضده الثاني في محضر الشرطة رغم أنه خصم في الدعوى وكذلك </w:t>
      </w:r>
      <w:r w:rsidRPr="00827DA0">
        <w:rPr>
          <w:rFonts w:asciiTheme="majorBidi" w:hAnsiTheme="majorBidi" w:cstheme="majorBidi" w:hint="cs"/>
          <w:sz w:val="32"/>
          <w:szCs w:val="32"/>
          <w:rtl/>
          <w:lang w:bidi="ar-BH"/>
        </w:rPr>
        <w:t>كت</w:t>
      </w:r>
      <w:r w:rsidRPr="00827DA0">
        <w:rPr>
          <w:rFonts w:asciiTheme="majorBidi" w:hAnsiTheme="majorBidi" w:cstheme="majorBidi"/>
          <w:sz w:val="32"/>
          <w:szCs w:val="32"/>
          <w:rtl/>
          <w:lang w:bidi="ar-BH"/>
        </w:rPr>
        <w:t>اب المطعون ضدها الثالثة بالتأمين على مورثهم والمقدم منهم لإثبات علاقة العمل بينه وبين المطعون ضدها الأولى مما كان يوجب على محكمة الموضوع أن تأمر باتخاذ إجراءات الإثبات لكشف حقيقة تلك العلاقة سواء بإجراء التحقيق أو استجواب ممثل المطعون ضدها الأولى في هذا الشأن مما يعيب الحكم ويستوجب نقضه.</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وحيث ان هذا النعي مردود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لما كان من المقرر أن تبعية العامل لصاحب العمل متمثلة في خضوعه لإدارته وإشرافه هي عنصر أساسي في عقد العمل ولا تقوم علاقة العمل بدونه وكان توافرها أو عدم توافرها في العلاقة بين الطرفين مسألة موضوعية تستقل محكمة الموضوع باستخلاصها من الظروف والملابسات المحيطة بالعمل وكان الحكم المطعون فيه وبما لمحكمة الموضوع من سلطة في تقدير الأدلة المطروحة عليه لاستخلاص الواقع منها قد أقام قضاءه بنفي مسئولية المطعون ضدها الأولى لانتفاء تبعية مورث الطاعنين لها حال عمله وقت الحادث على ما اطمأنت المحكمة إليه من إفادة المطعون ضده الثاني بمحضر الشرطة المؤرخ 4/12/2006 من أن مورثهم والعامل المرافق له لم يكونا تابعين إلى أي شركة وأنهما كانا يعملان لحسابهما الخاص وأن ما ورد ببطاقة المورث السكانية و</w:t>
      </w:r>
      <w:r w:rsidRPr="00827DA0">
        <w:rPr>
          <w:rFonts w:asciiTheme="majorBidi" w:hAnsiTheme="majorBidi" w:cstheme="majorBidi" w:hint="cs"/>
          <w:sz w:val="32"/>
          <w:szCs w:val="32"/>
          <w:rtl/>
          <w:lang w:bidi="ar-BH"/>
        </w:rPr>
        <w:t>كت</w:t>
      </w:r>
      <w:r w:rsidRPr="00827DA0">
        <w:rPr>
          <w:rFonts w:asciiTheme="majorBidi" w:hAnsiTheme="majorBidi" w:cstheme="majorBidi"/>
          <w:sz w:val="32"/>
          <w:szCs w:val="32"/>
          <w:rtl/>
          <w:lang w:bidi="ar-BH"/>
        </w:rPr>
        <w:t>اب الهيئة العامة للتأمين الاجتماعي من أنه كان مؤمنا عليه من قبل المطعون ضدها الأولى ويعمل تحت كفالتها لا ينهض دليلا على أن قيامه بالعمل الذي أصيب من خلاله وقت الحادث كان بتكليف من صاحب المطعون ضدها الأولى وهو ما لم يقدم الطاعنون أي دليل عليه رغم تمكين المحكمة لهم ذلك بإحالة الدعوى إلى التحقيق. وكان هذا الاستخلاص سائغا وله أصل ثابت بالأوراق ويكفي لحمل قضائه فإن ما يثيره الطاعن</w:t>
      </w:r>
      <w:r w:rsidRPr="00827DA0">
        <w:rPr>
          <w:rFonts w:asciiTheme="majorBidi" w:hAnsiTheme="majorBidi" w:cstheme="majorBidi" w:hint="cs"/>
          <w:sz w:val="32"/>
          <w:szCs w:val="32"/>
          <w:rtl/>
          <w:lang w:bidi="ar-BH"/>
        </w:rPr>
        <w:t>ون</w:t>
      </w:r>
      <w:r w:rsidRPr="00827DA0">
        <w:rPr>
          <w:rFonts w:asciiTheme="majorBidi" w:hAnsiTheme="majorBidi" w:cstheme="majorBidi"/>
          <w:sz w:val="32"/>
          <w:szCs w:val="32"/>
          <w:rtl/>
          <w:lang w:bidi="ar-BH"/>
        </w:rPr>
        <w:t xml:space="preserve"> في هذا الشأن لا يعدو أن يكون جدلا فيما لمحكمة الموضوع من سلطة في فهم الواقع وهو ما لا يجوز التحدي به أمام هذه المحكمة.</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 xml:space="preserve">وحيث ان ما ينعاه الطاعنون بالسبب الأخير على الحكم المطعون فيه القصور في التسبيب والفساد في الاستدلال حين أقام قضاءه بنفي مسئولية المطعون ضده الثاني على عدم ثبوت أن مورثهم كان خاضعا لإشرافه رغم اتاحة الفرصة أمامهم لإثبات ذلك بشهادة الشهود وانتهائه في تكييفه لعلاقة مورثهم بالمطعون ضده الثاني على أنها كانت مقاولة وليست علاقة عمل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أن يقدم المطعون ضده الثاني أي دليل على أن علاقة مورثهم به كانت مقاولة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فضلا عما تمسكوا به من أن عجزهم عن احضار شهود يرجع إلى وج</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دهم في دولة بنجلاديش وأن الشهود ممن يعملون تحت كفالة صاحب العمل مما يعيب الحكم ويستوجب نقضه.</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 xml:space="preserve">وحيث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 هذا النعي غير مقبول</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 الفقرة الثالثة من المادة الثانية من قانون العمل في القطاع الأهلي الصادر بالمرسوم بقانون رقم 23 لسنة 1976 – المعمول به في تاريخ الحادث – استثنت من تطبيق أحكامه طائفة العمال الذين يستخدمون في أعمال عرضية مؤقتة لا تدخل بطبيعتها فيما يزاوله صاحب العمل ولا تستغرق أكثر من ثلاثة أشهر وكان الواقع الثابت في الدعوى حسبما يبين من الاطلاع على تقرير قسم السلامة المهنية بوزارة العمل أن سبب إصابة مورث الطاعنين هو سقوطه من ارتفاع ثلاثة أمتار أثناء قيامه بإزالة الصفائح المعدنية من فوق مظلة موقف السيارات الخاص بمنزل المطعون ضده الثاني الذي لا يعد في حكم أصحاب الأعمال طبقا لقانون العمل وقد تعاقد مع مورث الطاعنين بصفة شخصية لإنجاز العمل وهو ما ثبت بأقوال من سئلوا في محضر الشرطة الذي يبين منه أن المطعون ضده الثاني يعمل مهندسا معماريا بالشركة وأنه عهد إلى مورث الطاعنين وآخر عملية إزالة الصفائح أعلى مظلة السيارات بمنزله وتركيب صفائح جديدة مكانها، وهو ما يستخلص من</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أن استخدام المطعون ضده الثاني لمورث الطاعنين عمل عرضي بمنزل المطعون ضده الثاني فيما يزاوله صاحب العمل وأن انجاز هذا العمل لا يستغرق وقتا يزيد على يوم واحد في تنفيذه فيكون مستثن</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منه تطبيق أحكام قانون العمل في القطاع الأهلي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 xml:space="preserve">سالف البيان طبقا لنص المادة الثانية منه ويخضع لأحكام القانون المدني التي خلت من النص على التزام صاحب العمل باتخاذ الاحتياطات اللازمة لحماية العامل من إخطار العمل والمنصوص عليها في المادة 90 من قانون العمل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سالف البيان</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وكانت الأوراق قد خلت من أي دليل على أن سقوط مورث الطاعنين في مكان الحادث يرجع سببه إلى خطأ تقصيري من قبل المطعون ضده الثاني وأنه كان يعمل تحت إشرافه ورقابته مما ينتفي معه ركن الخطأ في حقه وإذ انتهى الحكم المطعون فيه إلى هذه النتيجة فإن ما يثيره الطاعنون بشأن ثبوت علاقة العمل بين مورثهم والمطعون ضده الثاني وما خلص إليه الحكم في تكييفه للعلاقة بينهما على أنها مقاولة – أيا كان وجه الرأي فيه – يكون غير منتج ومن ثم غير مقبول.</w:t>
      </w:r>
    </w:p>
    <w:p w:rsidR="00B51F87" w:rsidRPr="00827DA0" w:rsidRDefault="00B51F87" w:rsidP="00B51F87">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ولما تقدم يتعين رفض الطعن.</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13A5"/>
    <w:multiLevelType w:val="hybridMultilevel"/>
    <w:tmpl w:val="4EF0BF70"/>
    <w:lvl w:ilvl="0" w:tplc="5F8883A8">
      <w:start w:val="1"/>
      <w:numFmt w:val="decimal"/>
      <w:lvlText w:val="%1-"/>
      <w:lvlJc w:val="left"/>
      <w:pPr>
        <w:ind w:left="360" w:hanging="360"/>
      </w:pPr>
      <w:rPr>
        <w:rFonts w:hint="default"/>
        <w:b/>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9D"/>
    <w:rsid w:val="0003272B"/>
    <w:rsid w:val="006D359D"/>
    <w:rsid w:val="00B51F87"/>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2020-04-21T12:26:00Z</dcterms:created>
  <dcterms:modified xsi:type="dcterms:W3CDTF">2020-04-21T12:27:00Z</dcterms:modified>
</cp:coreProperties>
</file>