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333" w:rsidRPr="000758A9" w:rsidRDefault="009B7333" w:rsidP="009B7333">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22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9B7333" w:rsidRPr="000758A9" w:rsidRDefault="009B7333" w:rsidP="009B7333">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 </w:t>
      </w:r>
      <w:r w:rsidRPr="000758A9">
        <w:rPr>
          <w:rFonts w:asciiTheme="majorBidi" w:hAnsiTheme="majorBidi" w:cstheme="majorBidi"/>
          <w:b/>
          <w:bCs/>
          <w:sz w:val="32"/>
          <w:szCs w:val="32"/>
          <w:rtl/>
          <w:lang w:bidi="ar-BH"/>
        </w:rPr>
        <w:t>المستشار عبدالله بن حسن البوعينين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وعضوية المستشارين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علي يوسف منصور ، نادر السيد علي عبدالمطلب ، عبدالله يعقوب عبدالرحمن </w:t>
      </w:r>
    </w:p>
    <w:p w:rsidR="009B7333" w:rsidRPr="000758A9" w:rsidRDefault="009B7333" w:rsidP="009B7333">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B7333" w:rsidRPr="000758A9" w:rsidRDefault="009B7333" w:rsidP="009B7333">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9B7333" w:rsidRPr="000758A9" w:rsidRDefault="009B7333" w:rsidP="009B7333">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112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9B7333" w:rsidRPr="000758A9" w:rsidRDefault="009B7333" w:rsidP="009B7333">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الطعن رقم 864 لسنة 2015</w:t>
      </w:r>
    </w:p>
    <w:p w:rsidR="009B7333" w:rsidRPr="000758A9" w:rsidRDefault="009B7333" w:rsidP="009B7333">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(1-3) </w:t>
      </w:r>
      <w:r w:rsidRPr="000758A9">
        <w:rPr>
          <w:rFonts w:asciiTheme="majorBidi" w:hAnsiTheme="majorBidi" w:cstheme="majorBidi" w:hint="cs"/>
          <w:b/>
          <w:bCs/>
          <w:sz w:val="32"/>
          <w:szCs w:val="32"/>
          <w:u w:val="single"/>
          <w:rtl/>
          <w:lang w:bidi="ar-BH"/>
        </w:rPr>
        <w:t>إ</w:t>
      </w:r>
      <w:r w:rsidRPr="000758A9">
        <w:rPr>
          <w:rFonts w:asciiTheme="majorBidi" w:hAnsiTheme="majorBidi" w:cstheme="majorBidi"/>
          <w:b/>
          <w:bCs/>
          <w:sz w:val="32"/>
          <w:szCs w:val="32"/>
          <w:u w:val="single"/>
          <w:rtl/>
          <w:lang w:bidi="ar-BH"/>
        </w:rPr>
        <w:t>ثبات. التزام. حكم "الخطأ في تطبيق القانون". خبرة. محكمة الموضوع.</w:t>
      </w:r>
    </w:p>
    <w:p w:rsidR="009B7333" w:rsidRPr="000758A9" w:rsidRDefault="009B7333" w:rsidP="009B7333">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محكمة الموضوع. عدم تقيدها برأي الخبير. م 152 إثبات.</w:t>
      </w:r>
    </w:p>
    <w:p w:rsidR="009B7333" w:rsidRPr="000758A9" w:rsidRDefault="009B7333" w:rsidP="009B7333">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الإبراء الذي ينقضي به الالتزام هو تصرف قانوني يتم بالإرادة المنفردة للدائن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توقف على قبول المدين ينزل به الدائن عن دينه تبرعا منه بدون مقابل. المادتان 362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363 مدني.</w:t>
      </w:r>
    </w:p>
    <w:p w:rsidR="009B7333" w:rsidRPr="000758A9" w:rsidRDefault="009B7333" w:rsidP="009B7333">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قيام المطعون ضدها بخصم جزء من مقدار المبل</w:t>
      </w:r>
      <w:r w:rsidRPr="000758A9">
        <w:rPr>
          <w:rFonts w:asciiTheme="majorBidi" w:hAnsiTheme="majorBidi" w:cstheme="majorBidi" w:hint="cs"/>
          <w:sz w:val="32"/>
          <w:szCs w:val="32"/>
          <w:rtl/>
          <w:lang w:bidi="ar-BH"/>
        </w:rPr>
        <w:t>غ</w:t>
      </w:r>
      <w:r w:rsidRPr="000758A9">
        <w:rPr>
          <w:rFonts w:asciiTheme="majorBidi" w:hAnsiTheme="majorBidi" w:cstheme="majorBidi"/>
          <w:sz w:val="32"/>
          <w:szCs w:val="32"/>
          <w:rtl/>
          <w:lang w:bidi="ar-BH"/>
        </w:rPr>
        <w:t xml:space="preserve"> المستحق لها على الطاعنة كمساهمة منها لما تعرضت له الأخيرة من خسائر. مؤداه تنازلها بإرادتها المنفردة عن جزء من مديونية الطاعنة بدون مقابل. أثره انقضاء التزام الطاعنة بالوفاء به. قضاء الحكم المطعون فيه بإلزام الطاعنة بكامل الدين خطأ.</w:t>
      </w:r>
    </w:p>
    <w:p w:rsidR="009B7333" w:rsidRPr="000758A9" w:rsidRDefault="009B7333" w:rsidP="009B7333">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من المقرر طبقا لنص المادة 152 من قانون الإثبات أن رأي الخبير لا يقيد المحكمة. </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2- مؤدى نص المادتين 362 ، 363 من القانون المدني أن الابراء الذي ينقضي به الالتزام هو تصرف قانوني يتم بالإرادة المنفردة للدائن</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توقف على قبول المدين ينزل به الدائن عن دينه تبرعا منه بدون مقابل . </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3- إذ كان البين من صورة الخطاب المرسل من المطعون ضدها للطاعنة في 10/2/2011 أنها قامت بخصم مبلغ 763.570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كويتي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من المبلغ المستحق </w:t>
      </w:r>
      <w:r w:rsidRPr="000758A9">
        <w:rPr>
          <w:rFonts w:asciiTheme="majorBidi" w:hAnsiTheme="majorBidi" w:cstheme="majorBidi"/>
          <w:sz w:val="32"/>
          <w:szCs w:val="32"/>
          <w:rtl/>
          <w:lang w:bidi="ar-BH"/>
        </w:rPr>
        <w:lastRenderedPageBreak/>
        <w:t>على الطاعنة كمساهمة منها بشأن ما تعرضت له من خسائر وهو ما يبين منه أن المطعون ضدها قد تنازلت بإرادتها المنفردة عن جزء من مديونية الطاعنة بدون مقابل مما يترتب عليه انقضاء التزام الطاعنة بالوفاء به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وإذ خالف الحكم المطعون فيه هذا النظر بأن ألزم الطاعنة بكامل الدين فإنه يكون معيبا بما يوجب نقضه جزئيا في هذا الشأن.</w:t>
      </w:r>
    </w:p>
    <w:p w:rsidR="009B7333" w:rsidRPr="000758A9" w:rsidRDefault="009B7333" w:rsidP="009B7333">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B7333" w:rsidRPr="000758A9" w:rsidRDefault="009B7333" w:rsidP="009B7333">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الوقائع – على ما يبين من الحكم المطعون فيه وسائر الأوراق – تتحصل في أن الشركة المطعون ضدها أقامت الدعوى رقم 690 لسنة 2011 أمام المحكمة الكبرى المدنية على الشركة الطاعنة بطلب الحكم بإلزامها بأن تؤدي إليها مبلغ 15763.57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كويتي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أو ما يعادله بالدينار البحريني والفائدة</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بنسبة 10% من تاريخ المطالبة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وقالت شرحا لدعواها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نها قامت بتزويد الطاعنة بكميات من البيض وارساله إليها في البحرين بمبلغ 21879.070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كويتي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لم تسدد منه سوى مبلغ 6115.500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كويتي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وترصد في ذمتها المبلغ المطالب به. ندبت المحكمة خبيرا وبعد أن قدم تقريره الأصلي ثم تقريرين تكميلي</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ن حكمت برفض الدعوى. استأنفت المطعون ضدها ذلك الحكم بالاستئناف رقم 1553 لسنة 2015 أمام محكمة الاستئناف العليا التي قضت بإلغاء الحكم المستأنف وبإلزام الطاعنة بأن تؤدي إلى المطعون ضدها مبلغ 15763.57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كويتي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أو ما يعادله بالدينار البحريني والفائدة بواقع 2% من تاريخ المطالبة. طعنت الطاعنة في هذا الحكم بطريق التمييز وقدم المكتب الفني مذكرة برأيه في الطعن.</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الطعن أقيم على ثلاثة أسباب تنعى بها الطاعنة على الحكم المطعون فيه عدا الوجه الثالث من السبب الأخير على الحكم المطعون فيه مخالفة القانون والخطأ في تطبيقه والقصور في التسبيب ومخالفة الثابت بالأوراق حين أقام مسئوليتها عن تلف كميات البيض التالف الذي تسلمته من المطعون ضدها وألزمها بقيمته كاملة على أنها لم تتخذ الإجراءات اللازمة حال اكتشافها فساده وأنها سددت للمطعون ضدها جزء</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من الثمن مع أن ذلك السداد كان يتعلق بالشحنة الأولى التي تم تسويقها فعلا وأنها قامت بإبلاغ المطعون ضدها فور اكتشافها فساد باقي الكميات و</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ودعتها أحد المخازن التي تتوافر فيها شروط التخزين إلا أن المطعون ضدها امتنعت عن استرجاعها حتى تم التخلص منها بمعرفة وزارة الصحة لانتهاء مدة صلاحيتها وهو ما أثبته الخبير في تقاريره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فضلا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أن تبعة فساد البيض وعدم صلاحيته </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قع</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على عاتق المطعون ضدها بحسبان أن العلاقة بينهما كانت مجرد وكالة توزيع وليست بيعا مما يعيب الحكم ويستوجب نقضه.</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لما كان من المقرر طبقا لنص المادة 152 من قانون الإثبات أن رأي الخبير لا يقيد المحكمة وكان البين من تقرير الخبير المنتدب أمام محكمة الدرجة الأولى أنه اتخذ مما قدمته الطاعنة من صور مراسلاتها للمطعون ضدها عن تلقيها شكاو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برداء</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جودة البيض وارجاعه من المح</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ل وعدم رد المطعون ضدها عليها إقرارا ضمنيا منها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 xml:space="preserve">فساده وعدم صلاحيته ولم يتحقق من صحة وصول تلك الرسائل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لمطعون ضدها ولا يعد ذلك قرينة كافية على أن التلف كان بسبب يرجع إلى المطعون ضدها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بل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الخبير قد أثبت في تقريره التكميلي الأخير أن الادارة العامة للجمارك قامت بفحص شحنات البيض للتأكد من صلاحيتها ولم تقدم الطاعنة أي دليل على فساد تلك الكميات عند تسلمها لها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خلت الأوراق مما يفيد أن الطاعنة كانت وكيل</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تجاري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عن المطعون ضدها في توزيع البيض لحساب الأخيرة وكان البين من فواتير البيع الصادر</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المطعون ضدها من كميات البيض محل التداعي أنها تتعلق بشرائه كما تضمن رد المختص بالشركة الطاعنة على تلك الفواتير بما يفيد </w:t>
      </w:r>
      <w:r w:rsidRPr="000758A9">
        <w:rPr>
          <w:rFonts w:asciiTheme="majorBidi" w:hAnsiTheme="majorBidi" w:cstheme="majorBidi" w:hint="cs"/>
          <w:sz w:val="32"/>
          <w:szCs w:val="32"/>
          <w:rtl/>
          <w:lang w:bidi="ar-BH"/>
        </w:rPr>
        <w:t>تس</w:t>
      </w:r>
      <w:r w:rsidRPr="000758A9">
        <w:rPr>
          <w:rFonts w:asciiTheme="majorBidi" w:hAnsiTheme="majorBidi" w:cstheme="majorBidi"/>
          <w:sz w:val="32"/>
          <w:szCs w:val="32"/>
          <w:rtl/>
          <w:lang w:bidi="ar-BH"/>
        </w:rPr>
        <w:t>لمها وضمنه رغبة الطاعن في أن يكون المستورد الوحيد لمنتجاتها وكان الحكم المطعون فيه وبما لمحكمة الموضوع من سلطة في فهم الواقع في الدعوى وتقدير الأدلة قد أقام قضاءه بمسئولية الطاعنة على ما اطم</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إليه في تقرير الخبير من قيام الإدارة العامة للجمارك بفحص شحنات البيض محل التداعي للتأكد من صلاحيتها وأن تعاقد الطاعنة مع المطعون ضدها على شراء تلك الكميات التي تسلمتها ولم تقم باتخاذ الإجراءات اللازمة حال اكتشافها فساد البيض وعدم صلاحيته ولم تقدم الدليل على أنه كان فاسد</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وكان هذا الاستخلاص سائغا وله أصل ثابت بالأوراق ويكفي لحمل قضائه فإن ما تثيره الطاعنة مما تردى فيه الحكم من استدلال بوفائها بجزء من الثمن – وأيا كان وجه الرأي فيه – يكون غير مقبول .</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ما تنعى به الطاعنة بالوجه الثالث من السبب الأخير من أسباب الطعن على الحكم المطعون فيه مخالفة القانون والخطأ في تطبيقه حين ألزمها بكامل ثمن البيض مع أن المطعون ضدها قد أقرت في خطابها المؤرخ 10/2/2011 بمنحها خصما بمبلغ 3763.570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كويتي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مساهمة منها فيما لحق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الطاعن من خسائر ليصير المبلغ المستحق هو اثن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عشر ألف دينار كويتي مما يعيب الحكم ويستوجب نقضه.</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هذا النعي سديد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 مؤدى نص المادتين 362 ، 363 من القانون المدني أن الابراء الذي ينقضي به الالتزام هو تصرف قانوني يتم بالإرادة المنفردة للدائن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توقف على قبول المدين ينزل به الدائن عن دينه تبرعا منه بدون مقابل، ولما كان ذلك وكان البين من صورة الخطاب المرسل من المطعون ضدها للطاعنة في 10/2/2011 أنها قامت بخصم مبلغ 763.570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كويتي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من المبلغ المستحق على الطاعنة كمساهمة منها بشأن ما تعرضت له من خسائر وهو ما يبين منه أن المطعون ضدها قد تنازلت بإرادتها المنفردة عن جزء من مديونية الطاعنة بدون مقابل مما يترتب عليه انقضاء التزام الطاعنة بالوفاء به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وإذ خالف الحكم المطعون فيه هذا النظر بأن ألزم الطاعنة بكامل الدين فإنه يكون معيبا بما يوجب نقضه جزئيا في هذا الشأن.</w:t>
      </w:r>
    </w:p>
    <w:p w:rsidR="009B7333" w:rsidRPr="000758A9" w:rsidRDefault="009B7333" w:rsidP="009B7333">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 الموضوع صالح للفصل فيما نقض عنه ولما تقدم يتعين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لغاء الحكم المستأنف وإلزام الطاعنة بأن تؤدي إلى المطعون ضده مبلغ اثن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عشر ألف دينار.</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0A5"/>
    <w:rsid w:val="0003272B"/>
    <w:rsid w:val="007830A5"/>
    <w:rsid w:val="009B7333"/>
    <w:rsid w:val="00A23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3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33"/>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2020-04-21T11:42:00Z</dcterms:created>
  <dcterms:modified xsi:type="dcterms:W3CDTF">2020-04-21T11:42:00Z</dcterms:modified>
</cp:coreProperties>
</file>