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E53" w:rsidRPr="00011591" w:rsidRDefault="00F74E53" w:rsidP="00F74E53">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جلسة 5 من يونيو سنة 2017</w:t>
      </w:r>
    </w:p>
    <w:p w:rsidR="00F74E53" w:rsidRPr="00011591" w:rsidRDefault="00F74E53" w:rsidP="00F74E53">
      <w:pPr>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 علي يوسف منصور</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يحي</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فتحي شافعي يمامة، عبدالله يعقوب عبدالرحمن ، محمد حسن البوعينين</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عبدالمنعم إبراهيم الشهاوي </w:t>
      </w:r>
    </w:p>
    <w:p w:rsidR="00F74E53" w:rsidRPr="00011591" w:rsidRDefault="00F74E53" w:rsidP="00F74E53">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F74E53" w:rsidRPr="00011591" w:rsidRDefault="00F74E53" w:rsidP="00F74E53">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229 </w:t>
      </w:r>
      <w:r w:rsidRPr="00011591">
        <w:rPr>
          <w:rFonts w:asciiTheme="majorBidi" w:hAnsiTheme="majorBidi" w:cstheme="majorBidi"/>
          <w:b/>
          <w:bCs/>
          <w:sz w:val="32"/>
          <w:szCs w:val="32"/>
          <w:lang w:bidi="ar-BH"/>
        </w:rPr>
        <w:t xml:space="preserve"> </w:t>
      </w:r>
      <w:r w:rsidRPr="00011591">
        <w:rPr>
          <w:rFonts w:asciiTheme="majorBidi" w:hAnsiTheme="majorBidi" w:cstheme="majorBidi"/>
          <w:b/>
          <w:bCs/>
          <w:sz w:val="32"/>
          <w:szCs w:val="32"/>
          <w:rtl/>
          <w:lang w:bidi="ar-BH"/>
        </w:rPr>
        <w:t>)</w:t>
      </w:r>
    </w:p>
    <w:p w:rsidR="00F74E53" w:rsidRPr="00011591" w:rsidRDefault="00F74E53" w:rsidP="00F74E53">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886 لسنة 2015 </w:t>
      </w:r>
    </w:p>
    <w:p w:rsidR="00F74E53" w:rsidRPr="00011591" w:rsidRDefault="00F74E53" w:rsidP="00F74E53">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(1-4) اختصاص . تحكيم . حكم " عيوب التدليل : مخالفة الثابت بالأوراق " . دعوى .            </w:t>
      </w:r>
    </w:p>
    <w:p w:rsidR="00F74E53" w:rsidRPr="00011591" w:rsidRDefault="00F74E53" w:rsidP="00F74E5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 الأحكام . وجوب أن تكون مبنية على أسباب واضحة جلية تنم عن تحصيل المحكمة فهم الواقع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الدعوى بما له سنده من الأوراق وأن الحقيقة الت</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قتنعت بها قام دليلها قانونا . </w:t>
      </w:r>
    </w:p>
    <w:p w:rsidR="00F74E53" w:rsidRPr="00011591" w:rsidRDefault="00F74E53" w:rsidP="00F74E5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الأصل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التقاض</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 أن يكون أمام المحاكم الت</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نظمها المشرع وفرض ولايتها على الخصوم ووضع القوانين والنظم وطرق الطعن فيما تصدره من أحكام ووسائل تنفيذها . الاستثناء  نظام التحكيم الذ</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وضعت له قواعد وضوابط لتنظ</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مه وتحديد إجراءاته .  </w:t>
      </w:r>
    </w:p>
    <w:p w:rsidR="00F74E53" w:rsidRPr="00011591" w:rsidRDefault="00F74E53" w:rsidP="00F74E5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مخالفة الثابت بالأوراق . ماهيته . بناء الحكم على تحصيل خاطئ لما هو ثابت بالأوراق أو على تحريف للثابت ماديا ببعض هذه الأوراق .  </w:t>
      </w:r>
    </w:p>
    <w:p w:rsidR="00F74E53" w:rsidRPr="00011591" w:rsidRDefault="00F74E53" w:rsidP="00F74E5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(4) ثبوت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نعقاد</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الاختصاص لمحاكم مملكة البحرين بنظر المنازعات الناشئة عن تنف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ذ العقد سند الدعوى طبقا للثابت ببنود العقد وخلوه من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تفاق طرفيه على فض تلك المنازعات عن طر</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ق التحكيم. قضاء الحكم المطعون فيه بعدم سماع الدعوى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عتدادا بشرط التحكيم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ستنادا لصورة نموذج عقد محرر باللغة العربية</w:t>
      </w:r>
      <w:r w:rsidRPr="00011591">
        <w:rPr>
          <w:rFonts w:asciiTheme="majorBidi" w:hAnsiTheme="majorBidi" w:cstheme="majorBidi" w:hint="cs"/>
          <w:sz w:val="32"/>
          <w:szCs w:val="32"/>
          <w:rtl/>
          <w:lang w:bidi="ar-BH"/>
        </w:rPr>
        <w:t xml:space="preserve"> من</w:t>
      </w:r>
      <w:r w:rsidRPr="00011591">
        <w:rPr>
          <w:rFonts w:asciiTheme="majorBidi" w:hAnsiTheme="majorBidi" w:cstheme="majorBidi"/>
          <w:sz w:val="32"/>
          <w:szCs w:val="32"/>
          <w:rtl/>
          <w:lang w:bidi="ar-BH"/>
        </w:rPr>
        <w:t xml:space="preserve"> دون الأخذ بالعقد المحرر باللغة الانجليزية سند الدعوى مخالفة .     </w:t>
      </w:r>
    </w:p>
    <w:p w:rsidR="00F74E53" w:rsidRPr="00011591" w:rsidRDefault="00F74E53" w:rsidP="00F74E53">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74E53" w:rsidRPr="00011591" w:rsidRDefault="00F74E53" w:rsidP="00F74E53">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lastRenderedPageBreak/>
        <w:t>من المقرر أن الاحكام يجب أن تكون مبنية على أسباب واضحة جلية تنم عن تحصيل المحكمة فهم الواقع في الدعوى بما له سند من الأوراق والبينات المقدمة لها وأن الحقيقة التي استخلصتها واقتنعت بها قد قام دليلها الذي يتطلبه القانون.</w:t>
      </w:r>
    </w:p>
    <w:p w:rsidR="00F74E53" w:rsidRPr="00011591" w:rsidRDefault="00F74E53" w:rsidP="00F74E53">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المقرر أن الأصل في التقاضي أن يكون أمام المحاكم التي نظمها المشرع وفرض ولايتها على الخصوم، ووضع القوانين والنظم التي تبين طرق الالتجاء إليها والطريقة التي يتم بها دراسة القضايا وفحصها والفصل فيها، وطرق الطعن فيما تصدره من أحكام ووسائل تنفيذها، وتضمنت هذه القوانين والنظم جميع الضمانات التي تكفل استقلال القضاء وحيدته وحمايته من تدخل السلطة العامة وعنت الخصوم ولا يستثنى من هذا الأصل إلا نظام التحكيم الذي وضعت له قواعد وضوابط لتنظيمه وتحديد اجراءاته، كما أن مخالفة الثابت بالأوراق بأنها بناء الحكم على تحصيل خاطئ لما هو ثابت بالأوراق أو على تحريف للثابت ماديا ببعض هذه الأوراق.</w:t>
      </w:r>
    </w:p>
    <w:p w:rsidR="00F74E53" w:rsidRPr="00011591" w:rsidRDefault="00F74E53" w:rsidP="00F74E53">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إذ كان ذلك، وكان الثابت من العقد المؤرخ 15/6/2008 سند الدعوى أنه قد تضمن بالبند 14/16 منه انعقاد الاختصاص لمحاكم مملكة البحرين بنظر المنازعات الناشئة عن تنفيذ هذا العقد، وكان ذلك هو الأصل في التقاضي، وقد خلا ذلك العقد من اتفاق طرفيه على فض تلك المنازعات عن طريق التحكيم، وإذ انتهى الحكم المطعون فيه إلى القضاء بعدم سماع الدعوى اعتدادا بشرط التحكيم استنادا لصورة نموذج عقد محرر باللغة العربية</w:t>
      </w:r>
      <w:r w:rsidRPr="00011591">
        <w:rPr>
          <w:rFonts w:asciiTheme="majorBidi" w:hAnsiTheme="majorBidi" w:cstheme="majorBidi" w:hint="cs"/>
          <w:sz w:val="32"/>
          <w:szCs w:val="32"/>
          <w:rtl/>
          <w:lang w:bidi="ar-BH"/>
        </w:rPr>
        <w:t xml:space="preserve"> من</w:t>
      </w:r>
      <w:r w:rsidRPr="00011591">
        <w:rPr>
          <w:rFonts w:asciiTheme="majorBidi" w:hAnsiTheme="majorBidi" w:cstheme="majorBidi"/>
          <w:sz w:val="32"/>
          <w:szCs w:val="32"/>
          <w:rtl/>
          <w:lang w:bidi="ar-BH"/>
        </w:rPr>
        <w:t xml:space="preserve"> دون الأخذ بالعقد المحرر باللغة الإنجليزية سند الدعوى فإنه يكون معيبا بمخالفة الثابت بالأوراق.</w:t>
      </w:r>
    </w:p>
    <w:p w:rsidR="00F74E53" w:rsidRPr="00011591" w:rsidRDefault="00F74E53" w:rsidP="00F74E53">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المحكمة</w:t>
      </w:r>
    </w:p>
    <w:p w:rsidR="00F74E53" w:rsidRPr="00011591" w:rsidRDefault="00F74E53" w:rsidP="00F74E53">
      <w:pPr>
        <w:bidi/>
        <w:spacing w:after="0" w:line="360" w:lineRule="auto"/>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F74E53" w:rsidRPr="00011591" w:rsidRDefault="00F74E53" w:rsidP="00F74E53">
      <w:pPr>
        <w:bidi/>
        <w:spacing w:after="0" w:line="360" w:lineRule="auto"/>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ab/>
        <w:t>حيث إن الطعن استوفى أوضاعه الشكلية.</w:t>
      </w:r>
    </w:p>
    <w:p w:rsidR="00F74E53" w:rsidRPr="00011591" w:rsidRDefault="00F74E53" w:rsidP="00F74E53">
      <w:pPr>
        <w:bidi/>
        <w:spacing w:after="0" w:line="360" w:lineRule="auto"/>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ab/>
        <w:t xml:space="preserve">وحيث إن الوقائع – على ما يبين من الحكم المطعون فيه وسائر الأوراق – تتحصل في أن الشركة الطاعنة تقدمت إلى قاضي المحكمة الصغرى المدنية بطلب استصدار الأمر بإلزام المطعون ضده بأن يؤدي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لها مبلغ 3280,800 دينار</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والفوائد القانونية بواقع 12% من تاريخ رفع الدعوى حتى تمام السداد، وذلك قيمة ما يخص الوحدة المملوكة له بالبرج من رسوم الخدمات والصيانة للأجزاء المشتركة عن السن</w:t>
      </w:r>
      <w:r w:rsidRPr="00011591">
        <w:rPr>
          <w:rFonts w:asciiTheme="majorBidi" w:hAnsiTheme="majorBidi" w:cstheme="majorBidi" w:hint="cs"/>
          <w:sz w:val="32"/>
          <w:szCs w:val="32"/>
          <w:rtl/>
          <w:lang w:bidi="ar-BH"/>
        </w:rPr>
        <w:t>تين</w:t>
      </w:r>
      <w:r w:rsidRPr="00011591">
        <w:rPr>
          <w:rFonts w:asciiTheme="majorBidi" w:hAnsiTheme="majorBidi" w:cstheme="majorBidi"/>
          <w:sz w:val="32"/>
          <w:szCs w:val="32"/>
          <w:rtl/>
          <w:lang w:bidi="ar-BH"/>
        </w:rPr>
        <w:t xml:space="preserve"> الثانية والثالثة وال</w:t>
      </w:r>
      <w:r w:rsidRPr="00011591">
        <w:rPr>
          <w:rFonts w:asciiTheme="majorBidi" w:hAnsiTheme="majorBidi" w:cstheme="majorBidi" w:hint="cs"/>
          <w:sz w:val="32"/>
          <w:szCs w:val="32"/>
          <w:rtl/>
          <w:lang w:bidi="ar-BH"/>
        </w:rPr>
        <w:t>ت</w:t>
      </w:r>
      <w:r w:rsidRPr="00011591">
        <w:rPr>
          <w:rFonts w:asciiTheme="majorBidi" w:hAnsiTheme="majorBidi" w:cstheme="majorBidi"/>
          <w:sz w:val="32"/>
          <w:szCs w:val="32"/>
          <w:rtl/>
          <w:lang w:bidi="ar-BH"/>
        </w:rPr>
        <w:t>ي امتنع عن سدادها رغم إخطاره بذلك</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امتنع القاضي عن إصدار الأمر، وحددت جلسة لنظر الموضوع وقيدت الدعوى برقم 7339 لسنة 2013 وبتاريخ 12 من ديسمبر 2013 قضت تلك المحكمة بعدم قبول الدعوى لانتفاء المصلحة، استأنفت الطاعنة هذا الحكم لدى المحكمة الكبرى المدنية الاستئنافية وبتاريخ 10 من يوني</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 xml:space="preserve"> 2015 حكمت المحكمة بعدم سماع الدعوى اعتدادا بشرط التحكيم وخلصت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w:t>
      </w:r>
      <w:r w:rsidRPr="00011591">
        <w:rPr>
          <w:rFonts w:asciiTheme="majorBidi" w:hAnsiTheme="majorBidi" w:cstheme="majorBidi" w:hint="cs"/>
          <w:sz w:val="32"/>
          <w:szCs w:val="32"/>
          <w:rtl/>
          <w:lang w:bidi="ar-BH"/>
        </w:rPr>
        <w:t xml:space="preserve">ى </w:t>
      </w:r>
      <w:r w:rsidRPr="00011591">
        <w:rPr>
          <w:rFonts w:asciiTheme="majorBidi" w:hAnsiTheme="majorBidi" w:cstheme="majorBidi"/>
          <w:sz w:val="32"/>
          <w:szCs w:val="32"/>
          <w:rtl/>
          <w:lang w:bidi="ar-BH"/>
        </w:rPr>
        <w:t xml:space="preserve">رفض الاستئناف وتأييد الحكم المستأنف، </w:t>
      </w:r>
      <w:r w:rsidRPr="00011591">
        <w:rPr>
          <w:rFonts w:asciiTheme="majorBidi" w:hAnsiTheme="majorBidi" w:cstheme="majorBidi" w:hint="cs"/>
          <w:sz w:val="32"/>
          <w:szCs w:val="32"/>
          <w:rtl/>
          <w:lang w:bidi="ar-BH"/>
        </w:rPr>
        <w:t>ف</w:t>
      </w:r>
      <w:r w:rsidRPr="00011591">
        <w:rPr>
          <w:rFonts w:asciiTheme="majorBidi" w:hAnsiTheme="majorBidi" w:cstheme="majorBidi"/>
          <w:sz w:val="32"/>
          <w:szCs w:val="32"/>
          <w:rtl/>
          <w:lang w:bidi="ar-BH"/>
        </w:rPr>
        <w:t>طعنت الطاعنة بطريق التمييز، وأودع المكتب الفني مذكرة برأيه في الطعن، وحددت المحكمة جلسة لنظره.</w:t>
      </w:r>
    </w:p>
    <w:p w:rsidR="00F74E53" w:rsidRPr="00011591" w:rsidRDefault="00F74E53" w:rsidP="00F74E53">
      <w:pPr>
        <w:bidi/>
        <w:spacing w:after="0" w:line="360" w:lineRule="auto"/>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ab/>
        <w:t xml:space="preserve">وحيث إن مما تنعاه الطاعنة على الحكم المطعون فيه الخطأ في تطبيق القانون ومخالفة الثابت بالأوراق إذ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نه قضى بعدم سماع الدعوى اعتدادا بشرط التحكيم الوارد بالبند رقم 14/15 بالعقد المؤرخ 6/5/2008 حال كون هذا البند لا يُعد شرط تحكيم وانطواء </w:t>
      </w:r>
      <w:r w:rsidRPr="00011591">
        <w:rPr>
          <w:rFonts w:asciiTheme="majorBidi" w:hAnsiTheme="majorBidi" w:cstheme="majorBidi" w:hint="cs"/>
          <w:sz w:val="32"/>
          <w:szCs w:val="32"/>
          <w:rtl/>
          <w:lang w:bidi="ar-BH"/>
        </w:rPr>
        <w:t>هذا</w:t>
      </w:r>
      <w:r w:rsidRPr="00011591">
        <w:rPr>
          <w:rFonts w:asciiTheme="majorBidi" w:hAnsiTheme="majorBidi" w:cstheme="majorBidi"/>
          <w:sz w:val="32"/>
          <w:szCs w:val="32"/>
          <w:rtl/>
          <w:lang w:bidi="ar-BH"/>
        </w:rPr>
        <w:t xml:space="preserve"> العقد على انعقاد الاختصاص لمحاكم مملكة البحرين عن المنازعات التي تنشأ عن تنفيذ هذا العقد وفقا للبند 14/16 مما يعيب الحكم ويستوجب نقضه.</w:t>
      </w:r>
    </w:p>
    <w:p w:rsidR="00F74E53" w:rsidRPr="00011591" w:rsidRDefault="00F74E53" w:rsidP="00F74E53">
      <w:pPr>
        <w:bidi/>
        <w:spacing w:after="0" w:line="360" w:lineRule="auto"/>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ab/>
        <w:t xml:space="preserve">وحيث إن هذا النعي في محله، ذلك أنه من المقرر أن الاحكام يجب أن تكون مبنية على أسباب واضحة جلية تنم عن تحصيل المحكمة فهم الواقع في الدعوى بما له سند من الأوراق والبينات المقدمة لها وأن الحقيقة التي استخلصتها واقتنعت بها قد قام دليلها الذي يتطلبه القانون، كما أن الأصل في التقاضي أن يكون أمام المحاكم التي نظمها المشرع وفرض ولايتها على الخصوم، ووضع القوانين والنظم التي تبين طرق الالتجاء إليها والطريقة التي يتم بها دراسة القضايا وفحصها والفصل فيها، وطرق الطعن فيما تصدره من أحكام ووسائل تنفيذها، وتضمنت هذه القوانين والنظم جميع الضمانات التي تكفل استقلال القضاء وحيدته وحمايته من تدخل السلطة العامة وعنت الخصوم ولا يستثنى من هذا الأصل إلا نظام التحكيم الذي وضعت له قواعد وضوابط لتنظيمه وتحديد اجراءاته، كما أن مخالفة الثابت بالأوراق بأنها بناء الحكم على تحصيل خاطئ لما هو ثابت بالأوراق أو على تحريف للثابت ماديا ببعض هذه الأوراق. لما كان ذلك، وكان الثابت من العقد المؤرخ 15/6/2008 سند الدعوى أنه قد تضمن بالبند 14/16 منه على انعقاد الاختصاص لمحاكم مملكة البحرين بنظر المنازعات الناشئة عن تنفيذ هذا العقد، وكان ذلك هو الأصل في التقاضي، وقد خلا ذلك العقد من اتفاق طرفيه على فض تلك المنازعات عن طريق التحكيم، وإذ انتهى الحكم المطعون فيه إلى القضاء بعدم سماع الدعوى اعتدادا بشرط التحكيم استنادا لصورة نموذج عقد محرر باللغة العربية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الأخذ بالعقد المحرر باللغة الإنجليزية سند الدعوى فإنه يكون معيبا بمخالفة الثابت بالأوراق بما يوجب نقضه</w:t>
      </w:r>
      <w:r w:rsidRPr="00011591">
        <w:rPr>
          <w:rFonts w:asciiTheme="majorBidi" w:hAnsiTheme="majorBidi" w:cstheme="majorBidi" w:hint="cs"/>
          <w:sz w:val="32"/>
          <w:szCs w:val="32"/>
          <w:rtl/>
          <w:lang w:bidi="ar-BH"/>
        </w:rPr>
        <w:t xml:space="preserve"> من</w:t>
      </w:r>
      <w:r w:rsidRPr="00011591">
        <w:rPr>
          <w:rFonts w:asciiTheme="majorBidi" w:hAnsiTheme="majorBidi" w:cstheme="majorBidi"/>
          <w:sz w:val="32"/>
          <w:szCs w:val="32"/>
          <w:rtl/>
          <w:lang w:bidi="ar-BH"/>
        </w:rPr>
        <w:t xml:space="preserve"> دون حاجة لبحث السبب الثاني للطعن.</w:t>
      </w:r>
    </w:p>
    <w:p w:rsidR="00C0724F" w:rsidRDefault="00C0724F">
      <w:pPr>
        <w:rPr>
          <w:lang w:bidi="ar-BH"/>
        </w:rPr>
      </w:pPr>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A53F6"/>
    <w:multiLevelType w:val="hybridMultilevel"/>
    <w:tmpl w:val="7BF04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42D"/>
    <w:rsid w:val="0003272B"/>
    <w:rsid w:val="0055242D"/>
    <w:rsid w:val="00C0724F"/>
    <w:rsid w:val="00F74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E5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E5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2020-04-22T10:24:00Z</dcterms:created>
  <dcterms:modified xsi:type="dcterms:W3CDTF">2020-04-22T10:24:00Z</dcterms:modified>
</cp:coreProperties>
</file>