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70" w:rsidRPr="00AF525A" w:rsidRDefault="003C0D70" w:rsidP="003C0D70">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جلسة 28 من مارس سنة 2017</w:t>
      </w:r>
    </w:p>
    <w:p w:rsidR="003C0D70" w:rsidRPr="00AF525A" w:rsidRDefault="003C0D70" w:rsidP="003C0D70">
      <w:pPr>
        <w:bidi/>
        <w:spacing w:after="0" w:line="360" w:lineRule="auto"/>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 xml:space="preserve">برئاسة </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المستشار د. طه عبدالمولى طه</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وعضوية المستشارين</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 نادر السيد علي</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عبدالمطلب،إبراهيم محمد المرصفاوي</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عدنان عبدالله الشيخ هزيم الشامسي .</w:t>
      </w:r>
    </w:p>
    <w:p w:rsidR="003C0D70" w:rsidRPr="00AF525A" w:rsidRDefault="003C0D70" w:rsidP="003C0D70">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3C0D70" w:rsidRPr="00AF525A" w:rsidRDefault="003C0D70" w:rsidP="003C0D70">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  118 </w:t>
      </w:r>
      <w:r w:rsidRPr="00AF525A">
        <w:rPr>
          <w:rFonts w:asciiTheme="majorBidi" w:hAnsiTheme="majorBidi" w:cstheme="majorBidi"/>
          <w:b/>
          <w:bCs/>
          <w:sz w:val="32"/>
          <w:szCs w:val="32"/>
          <w:lang w:bidi="ar-BH"/>
        </w:rPr>
        <w:t xml:space="preserve"> </w:t>
      </w:r>
      <w:r w:rsidRPr="00AF525A">
        <w:rPr>
          <w:rFonts w:asciiTheme="majorBidi" w:hAnsiTheme="majorBidi" w:cstheme="majorBidi"/>
          <w:b/>
          <w:bCs/>
          <w:sz w:val="32"/>
          <w:szCs w:val="32"/>
          <w:rtl/>
          <w:lang w:bidi="ar-BH"/>
        </w:rPr>
        <w:t>)</w:t>
      </w:r>
    </w:p>
    <w:p w:rsidR="003C0D70" w:rsidRPr="00AF525A" w:rsidRDefault="003C0D70" w:rsidP="003C0D70">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 xml:space="preserve">الطعن رقم 772لسنة 2014 </w:t>
      </w:r>
    </w:p>
    <w:p w:rsidR="003C0D70" w:rsidRPr="00AF525A" w:rsidRDefault="003C0D70" w:rsidP="003C0D70">
      <w:pPr>
        <w:bidi/>
        <w:spacing w:after="0" w:line="360" w:lineRule="auto"/>
        <w:jc w:val="both"/>
        <w:rPr>
          <w:rFonts w:asciiTheme="majorBidi" w:hAnsiTheme="majorBidi" w:cstheme="majorBidi"/>
          <w:b/>
          <w:bCs/>
          <w:sz w:val="32"/>
          <w:szCs w:val="32"/>
          <w:u w:val="single"/>
          <w:rtl/>
          <w:lang w:bidi="ar-BH"/>
        </w:rPr>
      </w:pPr>
      <w:r w:rsidRPr="00AF525A">
        <w:rPr>
          <w:rFonts w:asciiTheme="majorBidi" w:hAnsiTheme="majorBidi" w:cstheme="majorBidi"/>
          <w:b/>
          <w:bCs/>
          <w:sz w:val="32"/>
          <w:szCs w:val="32"/>
          <w:u w:val="single"/>
          <w:rtl/>
          <w:lang w:bidi="ar-BH"/>
        </w:rPr>
        <w:t xml:space="preserve"> (1-3) أسماء وألقاب . بطلان . تمييز . حكم "عيوب التدليل : الفساد فى الاستدلال </w:t>
      </w:r>
      <w:r w:rsidRPr="00AF525A">
        <w:rPr>
          <w:rFonts w:asciiTheme="majorBidi" w:hAnsiTheme="majorBidi" w:cstheme="majorBidi" w:hint="cs"/>
          <w:b/>
          <w:bCs/>
          <w:sz w:val="32"/>
          <w:szCs w:val="32"/>
          <w:u w:val="single"/>
          <w:rtl/>
          <w:lang w:bidi="ar-BH"/>
        </w:rPr>
        <w:t>-</w:t>
      </w:r>
      <w:r w:rsidRPr="00AF525A">
        <w:rPr>
          <w:rFonts w:asciiTheme="majorBidi" w:hAnsiTheme="majorBidi" w:cstheme="majorBidi"/>
          <w:b/>
          <w:bCs/>
          <w:sz w:val="32"/>
          <w:szCs w:val="32"/>
          <w:u w:val="single"/>
          <w:rtl/>
          <w:lang w:bidi="ar-BH"/>
        </w:rPr>
        <w:t xml:space="preserve"> القصور فى التسبيب ".  دفاع " الدفاع الجوهرى ". </w:t>
      </w:r>
    </w:p>
    <w:p w:rsidR="003C0D70" w:rsidRPr="00AF525A" w:rsidRDefault="003C0D70" w:rsidP="003C0D70">
      <w:pPr>
        <w:numPr>
          <w:ilvl w:val="0"/>
          <w:numId w:val="2"/>
        </w:numPr>
        <w:bidi/>
        <w:spacing w:after="0" w:line="360" w:lineRule="auto"/>
        <w:ind w:left="77" w:firstLine="0"/>
        <w:jc w:val="both"/>
        <w:rPr>
          <w:rFonts w:asciiTheme="majorBidi" w:hAnsiTheme="majorBidi" w:cstheme="majorBidi"/>
          <w:sz w:val="32"/>
          <w:szCs w:val="32"/>
          <w:lang w:bidi="ar-BH"/>
        </w:rPr>
      </w:pPr>
      <w:r w:rsidRPr="00AF525A">
        <w:rPr>
          <w:rFonts w:asciiTheme="majorBidi" w:hAnsiTheme="majorBidi" w:cstheme="majorBidi"/>
          <w:sz w:val="32"/>
          <w:szCs w:val="32"/>
          <w:rtl/>
          <w:lang w:bidi="ar-BH"/>
        </w:rPr>
        <w:t>الحكم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يجوز الطعن عليه بطريق التمييز بالبطلان طبقا لنص المادة الثانية من قانون محكمة التمييز . ماهيته . الحكم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محكمة الاستئناف العليا المدنية والشرعية أو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المحكمة الكبرى بصفتها الاستئنافية . بطلان الأحكام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 محكمة الدرجة الأولى . عدم جواز التحدى به أول مر</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xml:space="preserve"> أمام محكمة التمييز. جواز</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إثارته كوجه للطعن على الحكم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 المحكمة الاستئنافية . شرطه . قضا</w:t>
      </w:r>
      <w:r w:rsidRPr="00AF525A">
        <w:rPr>
          <w:rFonts w:asciiTheme="majorBidi" w:hAnsiTheme="majorBidi" w:cstheme="majorBidi" w:hint="cs"/>
          <w:sz w:val="32"/>
          <w:szCs w:val="32"/>
          <w:rtl/>
          <w:lang w:bidi="ar-BH"/>
        </w:rPr>
        <w:t>ؤ</w:t>
      </w:r>
      <w:r w:rsidRPr="00AF525A">
        <w:rPr>
          <w:rFonts w:asciiTheme="majorBidi" w:hAnsiTheme="majorBidi" w:cstheme="majorBidi"/>
          <w:sz w:val="32"/>
          <w:szCs w:val="32"/>
          <w:rtl/>
          <w:lang w:bidi="ar-BH"/>
        </w:rPr>
        <w:t xml:space="preserve">ها بتأييد حكم باطل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أن تنشئ لنفسها أسباب خاص</w:t>
      </w:r>
      <w:r w:rsidRPr="00AF525A">
        <w:rPr>
          <w:rFonts w:asciiTheme="majorBidi" w:hAnsiTheme="majorBidi" w:cstheme="majorBidi" w:hint="cs"/>
          <w:sz w:val="32"/>
          <w:szCs w:val="32"/>
          <w:rtl/>
          <w:lang w:bidi="ar-BH"/>
        </w:rPr>
        <w:t>ة</w:t>
      </w:r>
      <w:r w:rsidRPr="00AF525A">
        <w:rPr>
          <w:rFonts w:asciiTheme="majorBidi" w:hAnsiTheme="majorBidi" w:cstheme="majorBidi"/>
          <w:sz w:val="32"/>
          <w:szCs w:val="32"/>
          <w:rtl/>
          <w:lang w:bidi="ar-BH"/>
        </w:rPr>
        <w:t>. ثبوت أن الحكم المطعون فيه أنشأ لنفسه أسباب خاصة . ما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يثيره الطاعنون غير مقبول .  </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(2) عدم جواز تغيير أي بيانات قيدت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سجل قيد المواليد أو الوفيات إلا بناء على قرار من المحكمة . اثبات التغيير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عمود خاص بالسجل</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محو أو حذف للبيانات الأصلية . م23 مرسوم بق رقم 6 لسنة 1970بتنظيم تسجيل المواليد والوفيات . </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(3) تمسك الطاعنون ف</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دفاعهم أمام محكمة الموضوع أن المطعون ضدها الثانية أصدرت شهادة ميلاد المطعون ضده الأول مدونا بها لقب كانو بناء على خطاب من مستشفى الارسالية الامريكية على خلاف ما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هو مدون بسجل المواليد لديها فيما يتعلق بالمطعون ضده الأول الذ</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خل</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 xml:space="preserve"> بياناته الأصلية من إضافة هذا اللقب إليه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استصدار حكم بذلك وطلبوا ندب خبير لتحقيق دفاعهم . دفاع جوهر</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 قضاء الحكم المطعون فيه بتأييد الحكم الابتدائ</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بإضافة اللقب للمطعون ضده الأول تأسيسا </w:t>
      </w:r>
      <w:r w:rsidRPr="00AF525A">
        <w:rPr>
          <w:rFonts w:asciiTheme="majorBidi" w:hAnsiTheme="majorBidi" w:cstheme="majorBidi"/>
          <w:sz w:val="32"/>
          <w:szCs w:val="32"/>
          <w:rtl/>
          <w:lang w:bidi="ar-BH"/>
        </w:rPr>
        <w:lastRenderedPageBreak/>
        <w:t>على عدم استئناف المطعون ضدها الثانية الحكم الابتدائ</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وعدم استئنافه وأن الطاعنين لم يطعنوا على شهادة الميلاد وهو ما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لا يواجه هذا الدفاع ولا</w:t>
      </w:r>
      <w:r w:rsidRPr="00AF525A">
        <w:rPr>
          <w:rFonts w:asciiTheme="majorBidi" w:hAnsiTheme="majorBidi" w:cstheme="majorBidi" w:hint="cs"/>
          <w:sz w:val="32"/>
          <w:szCs w:val="32"/>
          <w:rtl/>
          <w:lang w:bidi="ar-BH"/>
        </w:rPr>
        <w:t xml:space="preserve"> </w:t>
      </w:r>
      <w:r w:rsidRPr="00AF525A">
        <w:rPr>
          <w:rFonts w:asciiTheme="majorBidi" w:hAnsiTheme="majorBidi" w:cstheme="majorBidi"/>
          <w:sz w:val="32"/>
          <w:szCs w:val="32"/>
          <w:rtl/>
          <w:lang w:bidi="ar-BH"/>
        </w:rPr>
        <w:t xml:space="preserve">يصلح ردا عليه . فساد وقصور . </w:t>
      </w:r>
    </w:p>
    <w:p w:rsidR="003C0D70" w:rsidRPr="00AF525A" w:rsidRDefault="003C0D70" w:rsidP="003C0D70">
      <w:pPr>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3C0D70" w:rsidRPr="00AF525A" w:rsidRDefault="003C0D70" w:rsidP="003C0D70">
      <w:pPr>
        <w:numPr>
          <w:ilvl w:val="0"/>
          <w:numId w:val="1"/>
        </w:numPr>
        <w:bidi/>
        <w:spacing w:after="0" w:line="360" w:lineRule="auto"/>
        <w:ind w:left="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المقرر أن الحكم المنصوص عليه في المادة الثامنة من قانون محكمة التمييز الذي يجوز الطعن عليه بطريق التمييز هو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محكمة الاستئناف العليا المدنية والشرعية أو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المحكمة الكبرى المدنية بصفتها الاستئنافية أما بطلان الاحكام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محاكم الدرجة الاولى فلا يجوز التحدي به أول مرة أمام محكمة التمييز وانما تجوز إثارته كوجه للطعن على الحكم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ن المحكمة الاستئنافية اذ قضت بتأييد حكم باطل لأسبابه</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أن تنشئ لنفسها أسبابا خاصة ، وكان البين من مدونات الحكم المطعون فيه أنه قد أنشأ لنفسه أسبابا خاصة به فإن ما يثيره الطاعنون بهذا السبب يكون غير مقبول.</w:t>
      </w:r>
    </w:p>
    <w:p w:rsidR="003C0D70" w:rsidRPr="00AF525A" w:rsidRDefault="003C0D70" w:rsidP="003C0D70">
      <w:pPr>
        <w:pStyle w:val="Title"/>
        <w:numPr>
          <w:ilvl w:val="0"/>
          <w:numId w:val="1"/>
        </w:numPr>
        <w:spacing w:line="360" w:lineRule="auto"/>
        <w:ind w:left="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المقرر وفق نص المادة 23 من المرسوم بقانون رقم 6 لسنة 1970 بتنظيم تسجيل المواليد والوفيات بعدم جواز تغيير اي بيانات قيدت في سجل قيد المواليد او الوفيات الا بناء على قرار من المحكمة ....، ويكون اثبات التغيير في عمود خاص بالسجل</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محو أو حذف للبيانات الأصلية . </w:t>
      </w:r>
    </w:p>
    <w:p w:rsidR="003C0D70" w:rsidRPr="00AF525A" w:rsidRDefault="003C0D70" w:rsidP="003C0D70">
      <w:pPr>
        <w:pStyle w:val="Title"/>
        <w:numPr>
          <w:ilvl w:val="0"/>
          <w:numId w:val="1"/>
        </w:numPr>
        <w:spacing w:line="360" w:lineRule="auto"/>
        <w:ind w:left="0"/>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إذ كان الطاعنون قد تمسكوا في دفاعهم أمام محكمة الموضوع أن المطعون ضدها الثانية قد أصدرت شهادة ميلاد المطعون ضده الاول في عام 2011 مدونا بها لقب كانو بناء على خطاب موجه اليها من مستشفى الارسالية الامريكية على خلاف ما هو مدون بسجل المواليد لديها فيما يتعلق بالمطعون ضده الاول ، الذي خلت بياناته الاصلية من اضافة هذا اللقب اليه</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ان يستصدر حكما بذلك وطلبوا ندب خبير لتحقيق هذا الدفاع ، واذ أطرح الحكم المطعون فيه هذا الدفاع الجوهري بقبول المطعون ضدها الثانية الحكم الابتدائي وعدم استئنافه من قبلها وان الطاعنين لم يطعنوا على شهادة الميلاد وهو ما لا يواجه هذا الدفاع ولا يصلح ردا عليه بما يعيبه.</w:t>
      </w:r>
    </w:p>
    <w:p w:rsidR="003C0D70" w:rsidRPr="00AF525A" w:rsidRDefault="003C0D70" w:rsidP="003C0D70">
      <w:pPr>
        <w:pStyle w:val="Title"/>
        <w:spacing w:line="360" w:lineRule="auto"/>
        <w:jc w:val="left"/>
        <w:rPr>
          <w:rFonts w:asciiTheme="majorBidi" w:hAnsiTheme="majorBidi" w:cstheme="majorBidi"/>
          <w:sz w:val="32"/>
          <w:szCs w:val="32"/>
          <w:rtl/>
        </w:rPr>
      </w:pPr>
      <w:r w:rsidRPr="00AF525A">
        <w:rPr>
          <w:rFonts w:asciiTheme="majorBidi" w:hAnsiTheme="majorBidi" w:cstheme="majorBidi"/>
          <w:noProof/>
          <w:sz w:val="32"/>
          <w:szCs w:val="32"/>
          <w:rtl/>
        </w:rPr>
        <mc:AlternateContent>
          <mc:Choice Requires="wps">
            <w:drawing>
              <wp:anchor distT="0" distB="0" distL="114300" distR="114300" simplePos="0" relativeHeight="251659264" behindDoc="0" locked="0" layoutInCell="1" allowOverlap="1" wp14:anchorId="7F219C64" wp14:editId="47799B58">
                <wp:simplePos x="0" y="0"/>
                <wp:positionH relativeFrom="column">
                  <wp:posOffset>1409700</wp:posOffset>
                </wp:positionH>
                <wp:positionV relativeFrom="paragraph">
                  <wp:posOffset>19050</wp:posOffset>
                </wp:positionV>
                <wp:extent cx="2257425" cy="38100"/>
                <wp:effectExtent l="13335" t="16510" r="1524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7425" cy="381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11pt;margin-top:1.5pt;width:177.75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" strokeweight="1.5pt"/>
            </w:pict>
          </mc:Fallback>
        </mc:AlternateContent>
      </w:r>
      <w:r w:rsidRPr="00AF525A">
        <w:rPr>
          <w:rFonts w:asciiTheme="majorBidi" w:hAnsiTheme="majorBidi" w:cstheme="majorBidi"/>
          <w:sz w:val="32"/>
          <w:szCs w:val="32"/>
          <w:rtl/>
        </w:rPr>
        <w:t xml:space="preserve"> </w:t>
      </w:r>
    </w:p>
    <w:p w:rsidR="003C0D70" w:rsidRPr="00AF525A" w:rsidRDefault="003C0D70" w:rsidP="003C0D70">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AF525A">
        <w:rPr>
          <w:rFonts w:asciiTheme="majorBidi" w:hAnsiTheme="majorBidi" w:cstheme="majorBidi"/>
          <w:b/>
          <w:bCs/>
          <w:sz w:val="32"/>
          <w:szCs w:val="32"/>
          <w:rtl/>
          <w:lang w:bidi="ar-BH"/>
        </w:rPr>
        <w:t>المحكمــة</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بعد الاطلاع على الأوراق</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وسماع التقرير الذي تلاه القاضي المقرر</w:t>
      </w:r>
      <w:r w:rsidRPr="00AF525A">
        <w:rPr>
          <w:rFonts w:asciiTheme="majorBidi" w:hAnsiTheme="majorBidi" w:cstheme="majorBidi" w:hint="cs"/>
          <w:sz w:val="32"/>
          <w:szCs w:val="32"/>
          <w:rtl/>
          <w:lang w:bidi="ar-BH"/>
        </w:rPr>
        <w:t>،</w:t>
      </w:r>
      <w:r w:rsidRPr="00AF525A">
        <w:rPr>
          <w:rFonts w:asciiTheme="majorBidi" w:hAnsiTheme="majorBidi" w:cstheme="majorBidi"/>
          <w:sz w:val="32"/>
          <w:szCs w:val="32"/>
          <w:rtl/>
          <w:lang w:bidi="ar-BH"/>
        </w:rPr>
        <w:t xml:space="preserve"> وبعد المداولة.</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حيث إن الطعن استوفى أوضاعه الشكلية.</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ab/>
        <w:t>وحيث إن الوقائع</w:t>
      </w:r>
      <w:r w:rsidRPr="00AF525A">
        <w:rPr>
          <w:rFonts w:asciiTheme="majorBidi" w:hAnsiTheme="majorBidi" w:cstheme="majorBidi"/>
          <w:sz w:val="32"/>
          <w:szCs w:val="32"/>
          <w:lang w:bidi="ar-BH"/>
        </w:rPr>
        <w:t xml:space="preserve">- </w:t>
      </w:r>
      <w:r w:rsidRPr="00AF525A">
        <w:rPr>
          <w:rFonts w:asciiTheme="majorBidi" w:hAnsiTheme="majorBidi" w:cstheme="majorBidi"/>
          <w:sz w:val="32"/>
          <w:szCs w:val="32"/>
          <w:rtl/>
          <w:lang w:bidi="ar-BH"/>
        </w:rPr>
        <w:t xml:space="preserve"> على ما يبين من الحكم المطعون فيه وسائر الأوراق - تتحصل في أن المطعون ضده الأول أقام على المطعون ضدهما الثانية والثالثة الدعوى رقم 15934 لسنة 2012 أمام المحكمة الصغرى بطلب الحكم بالزام الأخيرة بإضافة اللقب اليه في سجلاتها الرسمية واستصدار جواز سفر باسمه مضافا اليه ذلك اللقب الثابت بشهادة ميلاده . أحالت المحكمة الدعوى إلى لجنة الأسماء والألقاب لتقديم تقرير وتدخل الطاعنون في الدعوى بطلب رفضها والزام المطعون ضده الأول بالتعويض عما حاق بهم من اضرار . أجابت المحكمة المطعون ضده الاول إلى طلبه وبرفض موضوع التدخل بحكم استأنفه الطاعنون لدى المحكمة الكبرى المدنية بصفتها الاستئنافية بالاستئناف رقم 2770 لسنة 2013 وفيه قض</w:t>
      </w:r>
      <w:r w:rsidRPr="00AF525A">
        <w:rPr>
          <w:rFonts w:asciiTheme="majorBidi" w:hAnsiTheme="majorBidi" w:cstheme="majorBidi" w:hint="cs"/>
          <w:sz w:val="32"/>
          <w:szCs w:val="32"/>
          <w:rtl/>
          <w:lang w:bidi="ar-BH"/>
        </w:rPr>
        <w:t>ي</w:t>
      </w:r>
      <w:r w:rsidRPr="00AF525A">
        <w:rPr>
          <w:rFonts w:asciiTheme="majorBidi" w:hAnsiTheme="majorBidi" w:cstheme="majorBidi"/>
          <w:sz w:val="32"/>
          <w:szCs w:val="32"/>
          <w:rtl/>
          <w:lang w:bidi="ar-BH"/>
        </w:rPr>
        <w:t xml:space="preserve"> برفضه وتأييد الحكم المستأنف . طعن الطاعنون في هذا الحكم بطريق التمييز وقدم المكتب الفني مذكرة برأيه في الطعن .</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وحيث ان الطعن أقيم على خمسة أسباب ينعى الطاعنون بالسببين الأول والثاني منها على الحكم المطعون فيه مخالفة القانون والخطأ في تطبيقه والاخلال بحق الدفاع حين قضى بتأييد الحكم الابتدائي رغم بطلانه لخلو ديباجته من بيان اسمائهم كمتدخلين وعدم تبليغهم بعد احالة الأوراق إلى محكمة الدرجة الاولى من لجنة تعديل الاسماء والالقاب فلم يتمكنوا من ابداء دفاعهم مما يعيب الحكم ويستوجب نقضه .</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وحيث ان هذا النعي مردود ، ذلك أن الحكم المنصوص عليه في المادة الثامنة من قانون محكمة التمييز الذي يجوز الطعن عليه بطريق التمييز هو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محكمة الاستئناف العليا المدنية والشرعية أو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المحكمة الكبرى المدنية بصفتها الاستئنافية أما بطلان الاحكام الصادرة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محاكم الدرجة الاولى فلا يجوز التحدي به أول مرة أمام محكمة التمييز وانما تجوز إثارته كوجه للطعن على الحكم الصادر </w:t>
      </w:r>
      <w:r w:rsidRPr="00AF525A">
        <w:rPr>
          <w:rFonts w:asciiTheme="majorBidi" w:hAnsiTheme="majorBidi" w:cstheme="majorBidi" w:hint="cs"/>
          <w:sz w:val="32"/>
          <w:szCs w:val="32"/>
          <w:rtl/>
          <w:lang w:bidi="ar-BH"/>
        </w:rPr>
        <w:t>ع</w:t>
      </w:r>
      <w:r w:rsidRPr="00AF525A">
        <w:rPr>
          <w:rFonts w:asciiTheme="majorBidi" w:hAnsiTheme="majorBidi" w:cstheme="majorBidi"/>
          <w:sz w:val="32"/>
          <w:szCs w:val="32"/>
          <w:rtl/>
          <w:lang w:bidi="ar-BH"/>
        </w:rPr>
        <w:t xml:space="preserve">ن المحكمة الاستئنافية اذ قضت بتأييد حكم باطل لأسبابه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أن تنشئ لنفسها أسبابا خاصة ، وكان البين من مدونات الحكم المطعون فيه أنه قد أنشأ لنفسه أسبابا خاصة به فإن ما يثيره الطاعنون بهذا السبب يكون غير مقبول.</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وحيث ان مما ينعاه الطاعنون بالسببين الثالث والرابع من اسباب الطعن على الحكم المطعون فيه الفساد في الاستدلال والقصور في التسبيب حين استند في قضائه بتأييد الحكم الابتدائي بإضافة لقب كانو في جواز سفر المطعون ضده الاول إلى شهادة ميلاده مع انهم تمسكوا في دفاعهم بأن اصدار المطعون ضدها الثانية لتلك الشهادة في عام 2011 قد تم بناء على خطاب موجه إليها من قبل مستشفى الارسالية الامريكية ، بالمخالفة للقانون الذي يستوجب صدور حكم بإضافة اللقب اولا وال</w:t>
      </w:r>
      <w:r w:rsidRPr="00AF525A">
        <w:rPr>
          <w:rFonts w:asciiTheme="majorBidi" w:hAnsiTheme="majorBidi" w:cstheme="majorBidi" w:hint="cs"/>
          <w:sz w:val="32"/>
          <w:szCs w:val="32"/>
          <w:rtl/>
          <w:lang w:bidi="ar-BH"/>
        </w:rPr>
        <w:t>ت</w:t>
      </w:r>
      <w:r w:rsidRPr="00AF525A">
        <w:rPr>
          <w:rFonts w:asciiTheme="majorBidi" w:hAnsiTheme="majorBidi" w:cstheme="majorBidi"/>
          <w:sz w:val="32"/>
          <w:szCs w:val="32"/>
          <w:rtl/>
          <w:lang w:bidi="ar-BH"/>
        </w:rPr>
        <w:t>ي خلت من الشهادة الصادرة للمطعون ضده الاول عند مولده و</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ان تجيبهم المحكمة إلى طلبهم تعيين خبير لمعاينة ارشيف سجلات وزارة الصحة والدفتر المسجل فيه اسم المطعون ضده الاول لبيان ما اذا كان اللقب المطلوب اضافته اليه كان مدونا به منذ ميلاده أم أنه قد تم حديثا بدون الحصول على حكم قضائي ، وهو ما يعيب الحكم ويستوجب نقضه .</w:t>
      </w:r>
    </w:p>
    <w:p w:rsidR="003C0D70" w:rsidRPr="00AF525A" w:rsidRDefault="003C0D70" w:rsidP="003C0D70">
      <w:pPr>
        <w:bidi/>
        <w:spacing w:after="0" w:line="360" w:lineRule="auto"/>
        <w:jc w:val="both"/>
        <w:rPr>
          <w:rFonts w:asciiTheme="majorBidi" w:hAnsiTheme="majorBidi" w:cstheme="majorBidi"/>
          <w:sz w:val="32"/>
          <w:szCs w:val="32"/>
          <w:rtl/>
          <w:lang w:bidi="ar-BH"/>
        </w:rPr>
      </w:pPr>
      <w:r w:rsidRPr="00AF525A">
        <w:rPr>
          <w:rFonts w:asciiTheme="majorBidi" w:hAnsiTheme="majorBidi" w:cstheme="majorBidi"/>
          <w:sz w:val="32"/>
          <w:szCs w:val="32"/>
          <w:rtl/>
          <w:lang w:bidi="ar-BH"/>
        </w:rPr>
        <w:t xml:space="preserve">      وحيث ان هذا النعي في محله ، ذلك انه لما كان من المقرر وفق نص المادة 23 من المرسوم بقانون رقم 6 لسنة 1970 بتنظيم تسجيل المواليد والوفيات بعدم جواز تغيير اي بيانات قيدت في سجل قيد المواليد او الوفيات الا بناء على قرار من المحكمة ....، ويكون اثبات التغيير في عمود خاص بالسجل</w:t>
      </w:r>
      <w:r w:rsidRPr="00AF525A">
        <w:rPr>
          <w:rFonts w:asciiTheme="majorBidi" w:hAnsiTheme="majorBidi" w:cstheme="majorBidi" w:hint="cs"/>
          <w:sz w:val="32"/>
          <w:szCs w:val="32"/>
          <w:rtl/>
          <w:lang w:bidi="ar-BH"/>
        </w:rPr>
        <w:t xml:space="preserve"> من</w:t>
      </w:r>
      <w:r w:rsidRPr="00AF525A">
        <w:rPr>
          <w:rFonts w:asciiTheme="majorBidi" w:hAnsiTheme="majorBidi" w:cstheme="majorBidi"/>
          <w:sz w:val="32"/>
          <w:szCs w:val="32"/>
          <w:rtl/>
          <w:lang w:bidi="ar-BH"/>
        </w:rPr>
        <w:t xml:space="preserve"> دون محو أو حذف للبيانات الأصلية. وكان الطاعنون قد تمسكوا في دفاعهم أمام محكمة الموضوع أن المطعون ضدها الثانية قد أصدرت شهادة ميلاد المطعون ضده الاول في عام 2011 مدونا بها اللقب بناء على خطاب موجه اليها من مستشفى الارسالية الامريكية على خلاف ما هو مدون بسجل المواليد لديها فيما يتعلق بالمطعون ضده الاول ، الذي خلت بياناته الاصلية من اضافة هذا اللقب اليه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 xml:space="preserve">دون ان يستصدر حكما بذلك وطلبوا ندب خبير لتحقيق هذا الدفاع ، واذ أطرح الحكم المطعون فيه هذا الدفاع الجوهري بقبول المطعون ضدها الثانية الحكم الابتدائي وعدم استئنافه من قبلها وان الطاعنين لم يطعنوا على شهادة الميلاد وهو ما لا يواجه هذا الدفاع ولا يصلح ردا عليه بما يعيبه ويوجب نقضه </w:t>
      </w:r>
      <w:r w:rsidRPr="00AF525A">
        <w:rPr>
          <w:rFonts w:asciiTheme="majorBidi" w:hAnsiTheme="majorBidi" w:cstheme="majorBidi" w:hint="cs"/>
          <w:sz w:val="32"/>
          <w:szCs w:val="32"/>
          <w:rtl/>
          <w:lang w:bidi="ar-BH"/>
        </w:rPr>
        <w:t xml:space="preserve">من </w:t>
      </w:r>
      <w:r w:rsidRPr="00AF525A">
        <w:rPr>
          <w:rFonts w:asciiTheme="majorBidi" w:hAnsiTheme="majorBidi" w:cstheme="majorBidi"/>
          <w:sz w:val="32"/>
          <w:szCs w:val="32"/>
          <w:rtl/>
          <w:lang w:bidi="ar-BH"/>
        </w:rPr>
        <w:t>دون حاجة لبحث باقي اسباب الطعن.</w:t>
      </w:r>
    </w:p>
    <w:p w:rsidR="00894922" w:rsidRDefault="00894922">
      <w:pPr>
        <w:rPr>
          <w:lang w:bidi="ar-BH"/>
        </w:rPr>
      </w:pPr>
      <w:bookmarkStart w:id="0" w:name="_GoBack"/>
      <w:bookmarkEnd w:id="0"/>
    </w:p>
    <w:sectPr w:rsidR="0089492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E126C"/>
    <w:multiLevelType w:val="hybridMultilevel"/>
    <w:tmpl w:val="210401DE"/>
    <w:lvl w:ilvl="0" w:tplc="885A8C18">
      <w:start w:val="1"/>
      <w:numFmt w:val="decimal"/>
      <w:lvlText w:val="(%1)"/>
      <w:lvlJc w:val="left"/>
      <w:pPr>
        <w:ind w:left="1086" w:hanging="54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
    <w:nsid w:val="76B55C72"/>
    <w:multiLevelType w:val="hybridMultilevel"/>
    <w:tmpl w:val="BCDCB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C2"/>
    <w:rsid w:val="0003272B"/>
    <w:rsid w:val="002963C2"/>
    <w:rsid w:val="003C0D70"/>
    <w:rsid w:val="00894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0D70"/>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3C0D70"/>
    <w:rPr>
      <w:rFonts w:ascii="Times New Roman" w:eastAsia="Times New Roman" w:hAnsi="Times New Roman" w:cs="Arabic Transparent"/>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C0D70"/>
    <w:pPr>
      <w:bidi/>
      <w:spacing w:after="0" w:line="240" w:lineRule="auto"/>
      <w:jc w:val="center"/>
    </w:pPr>
    <w:rPr>
      <w:rFonts w:ascii="Times New Roman" w:eastAsia="Times New Roman" w:hAnsi="Times New Roman" w:cs="Arabic Transparent"/>
      <w:sz w:val="20"/>
      <w:szCs w:val="28"/>
    </w:rPr>
  </w:style>
  <w:style w:type="character" w:customStyle="1" w:styleId="TitleChar">
    <w:name w:val="Title Char"/>
    <w:basedOn w:val="DefaultParagraphFont"/>
    <w:link w:val="Title"/>
    <w:rsid w:val="003C0D70"/>
    <w:rPr>
      <w:rFonts w:ascii="Times New Roman" w:eastAsia="Times New Roman" w:hAnsi="Times New Roman" w:cs="Arabic Transparent"/>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2020-04-21T11:32:00Z</dcterms:created>
  <dcterms:modified xsi:type="dcterms:W3CDTF">2020-04-21T11:32:00Z</dcterms:modified>
</cp:coreProperties>
</file>