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90" w:rsidRPr="00011591" w:rsidRDefault="00037990" w:rsidP="00037990">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6 من يونيو سنة 2017</w:t>
      </w:r>
    </w:p>
    <w:p w:rsidR="00037990" w:rsidRPr="00011591" w:rsidRDefault="00037990" w:rsidP="00037990">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د. طه عبدالمولى طه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نادر السيد علي</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عبدالمطلب،إبراهيم محمد المرصفاوي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عدنان عبدالله الشيخ هزيم الشامسي</w:t>
      </w:r>
    </w:p>
    <w:p w:rsidR="00037990" w:rsidRPr="00011591" w:rsidRDefault="00037990" w:rsidP="00037990">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037990" w:rsidRPr="00011591" w:rsidRDefault="00037990" w:rsidP="00037990">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234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037990" w:rsidRPr="00011591" w:rsidRDefault="00037990" w:rsidP="00037990">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657 لسنة 2015 </w:t>
      </w:r>
    </w:p>
    <w:p w:rsidR="00037990" w:rsidRPr="00011591" w:rsidRDefault="00037990" w:rsidP="00037990">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(1-8) اثبات . تمييز . حكم .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تقدير الخطأ المستوجب لمسئولية مرتكبه وتقدير توافر السببية بين الخطأ والنتيجة أو عدم توافره من سلطة محكمة الموضوع . لازمه أن يكون تقديرها سائغا ومستندا إلى أدلة مقبولة لها أصلها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الأوراق .   </w:t>
      </w:r>
    </w:p>
    <w:p w:rsidR="00037990" w:rsidRPr="00011591" w:rsidRDefault="00037990" w:rsidP="00037990">
      <w:pPr>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(2) خطأ المضرور لا يرفع المسئولية وإنما يخف</w:t>
      </w:r>
      <w:r w:rsidRPr="00011591">
        <w:rPr>
          <w:rFonts w:asciiTheme="majorBidi" w:hAnsiTheme="majorBidi" w:cstheme="majorBidi" w:hint="cs"/>
          <w:sz w:val="32"/>
          <w:szCs w:val="32"/>
          <w:rtl/>
          <w:lang w:bidi="ar-BH"/>
        </w:rPr>
        <w:t>ف</w:t>
      </w:r>
      <w:r w:rsidRPr="00011591">
        <w:rPr>
          <w:rFonts w:asciiTheme="majorBidi" w:hAnsiTheme="majorBidi" w:cstheme="majorBidi"/>
          <w:sz w:val="32"/>
          <w:szCs w:val="32"/>
          <w:rtl/>
          <w:lang w:bidi="ar-BH"/>
        </w:rPr>
        <w:t>ها . إعفاء المسئول استئناء من هذا الأصل . شرطه أن يبين من ظروف الحادث أن خطأ المضرور هو العامل الرئيس والأول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إحداث الضرر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أصابه وأنه بلغ من الجسامة درجة يستغرق فيها خطأ المسئول .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قضاء الحكم المطعون فيه بتأييد الحكم الابتدائ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فيما خلص إليه أن قائد السيارة أداة الحادث قد تسبب بخطئه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وقوع الحادث وما نجم عنه من إصابة مورث المطعون ضدهم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أودت بحياته وذلك بقيادته السيارة بحالة ينجم عنها الخطر وعدم منحه المجن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 فرصة لعبو الطريق وأن مسلك الأخير لا يرقى إلى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عتباره قوة قاهرة تقطع علاقة السببية بين هذا الخطأ وبين النتيجة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ترتبت عليه . صحيح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شتراك المجن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الخطأ المسبب للحادث دون استغراقه وجوب توزيع المسئولية على قدر الخطأ .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رفع الاستئناف . أثره نقل موضوع النزاع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حدود طلبات المستأنف إلى محكمة الدرجة الثانية وإعادة طرح</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 xml:space="preserve"> بكل ما اشتمل عليه من أدلة وأوجه دفاع 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بداء </w:t>
      </w:r>
      <w:r w:rsidRPr="00011591">
        <w:rPr>
          <w:rFonts w:asciiTheme="majorBidi" w:hAnsiTheme="majorBidi" w:cstheme="majorBidi"/>
          <w:sz w:val="32"/>
          <w:szCs w:val="32"/>
          <w:rtl/>
          <w:lang w:bidi="ar-BH"/>
        </w:rPr>
        <w:lastRenderedPageBreak/>
        <w:t xml:space="preserve">رأيها فيها بقضاء مسبب يواجه عناصر النزاع . استئناف المضرور أوالمسئول الحكم الصادر بالتعويض . لازمه أن تتصدى المحكمة الاستئنافية لكل عناصر النزاع ومن بينها مقدار التعويض المحكوم به ولها أن ترى رأيا مخالفا لما انتهت إليه محكمة أول درجة .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(6) التعويض المورث . ماهيته . مقابل حق المضرور الميت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حرم من حياته بسبب الفعل الضار و</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نتقل هذا الحق إلى ورثته .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(7) تقدير التعويض من سلطة محكمة الموضوع . شرطه ان تكون قد حددت عناصر الضرر الموجب له وأخذت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عتبارها عند تقدير </w:t>
      </w:r>
      <w:r w:rsidRPr="00011591">
        <w:rPr>
          <w:rFonts w:asciiTheme="majorBidi" w:hAnsiTheme="majorBidi" w:cstheme="majorBidi" w:hint="cs"/>
          <w:sz w:val="32"/>
          <w:szCs w:val="32"/>
          <w:rtl/>
          <w:lang w:bidi="ar-BH"/>
        </w:rPr>
        <w:t xml:space="preserve">جميع </w:t>
      </w:r>
      <w:r w:rsidRPr="00011591">
        <w:rPr>
          <w:rFonts w:asciiTheme="majorBidi" w:hAnsiTheme="majorBidi" w:cstheme="majorBidi"/>
          <w:sz w:val="32"/>
          <w:szCs w:val="32"/>
          <w:rtl/>
          <w:lang w:bidi="ar-BH"/>
        </w:rPr>
        <w:t>الظروف الشخصية للمضرور وأخصها سن</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 xml:space="preserve"> وقت الحادث</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(8) تمسك الطاعنة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دفاعها أمام محكمة الاستئناف مغالاة محكمة أول درجة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تقدير التعويض المورث وعدم بيان الحكم الابتدائ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عناصر الضرر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أخذها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اعتباره عند تقديره مكتفيا بقوله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ن هذا التعويض مناسب للضرر الحاصل . قضاء الحكم المطعون فيه بتأييد الحكم المستأنف لأسبابه وإعراضه عن هذا الدفاع ولم يقل كلمته فيه قصور .    </w:t>
      </w:r>
    </w:p>
    <w:p w:rsidR="00037990" w:rsidRPr="00011591" w:rsidRDefault="00037990" w:rsidP="00037990">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 تقدير الخطأ المستوجب لمسئولية مرتكبه وتقدير توافر السببية بين الخطأ والنتيجة أو عدم توافره هو من المسائل الموضوعية التي تفصل فيها محكمة الموضوع بغير معقب مادام تقديرها سائغا ومستندا إلى أدلة مقبولة لها أصلها في الأوراق.</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 خطأ المضرور لا يرفع المسئولية إنما يخففها ولا يعفي المسئول استثناءً من هذا الأصل إلا إذا تبين من ظروف الحادث أن خطأ المضرور هو العامل الرئيس والأول في إحداث الضرر الذي أصابه وأنه بلغ من الجسامة درجة بحيث يستغرق خطأ المسئول .</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إذ كان الحكم الابتدائي المؤيد بالحكم المطعون فيه قد خلص في أسبابه المرتبطة بمنطوقه أن قائد السيارة – أداة الحادث – قد تسبب بخطئه في وقوع الحادث وما نجم عنه من إصابة مورث المطعون ضدهم، التي أودت بحياته، وذلك بقيادته السيارة بحالة ينجم عنها الخطر وعدم منحه المجني عليه فرصة لعبور الطريق حال نزوله من الرصيف وأنه كان في مقدوره تفادي الاصطدام به لو كانت السرعة أقل، وأن مسلك المجني عليه الخاطئ لا يرقى إلى اعتباره قوة قاهرة تقطع علاقة السببية بين هذا الخطأ وبين النتيجة التي ترتبت عليه، وكان استخلاص الحكم لخطأ قائد السيارة وعدم استغراق خطأ مورث المطعون ضدهم لخطئه، استخلاصا سائغا له معينه الثابت بالأوراق وفيه الرد المسقط لما تثيره الطاعنة بوجه النعي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ولا ينال منه ما تمسكت به الطاعنة في دفاعها من أنه لم يصدر حكم جنائي بإدانة قائد السيارة عن الحادث وأن المحكمة الجنائية قضت بانقضاء الدعوى الجنائية لوفاته، ذلك أن عدم رفع الدعوى الجنائية أصلا، أو انقضاءها بعد تحريكها لأي سبب من الأسباب وقبل صدور حكم فيها، لا يمنع القاضي المدني من أن يستخلص الخطأ المدني في حق المسئول بأي وسيلة قانونية يراها مناسبة، إذ لا يقيده في هذا الخصوص سوى صدور حكم جنائي بات صادر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 المحكمة الجنائية قضى بالبراءة أو الإدانة يكون قد فصل في الأساس المشترك للدعويين فيما يتعلق بوقوع الجريمة وبوصفها القانوني ونسبتها إلى فاعلها، وفي غير ذلك يسترد القاضي المدني سلطته في استخلاص الخطأ ونسبته إلى فاعله ويضحى ما تثيره الطاعنة في هذا الخصوص غير سديد.</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اشتراك المجني عليه في الخطأ المسبب للحادث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دون استغراقه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مما يوجب توزيع المسئولية على قدر الخطأ.</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أنه لما كان يترتب على رفع الاستئناف نقل موضوع النزاع في حدود طلبات المستأنف إلى محكمة الدرجة الثانية وإعادة طرحه بكل ما اشتمل عليه من أدلة وأوجه دفاع لتقول كلمتها فيها بقضاء مسبب يواجه عناصر النزاع – القانونية والواقعية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على السواء</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فإذا استأنف المضرور أو المسئول الحكم الصادر بالتعويض فإن لازم ذلك أن تتصدى المحكمة الاستئنافية لكل عناصر النزاع ومن بينها مقدار التعويض المحكوم به ولها أن ترى فيه رأيا مخالفا لما انتهت إليه محكمة أول درجة.</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التعويض الموروث ــ وعلى ما جرى به قضاء هذه المحكمة ــ هو مقابل حق المضرور الميت الذي حرم من حياته بسبب الفعل الضار وانتقل هذا الحق المدني إلى ورثته.</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المقرر أنه لئن كان تقدير هذا التعويض من إطلاقات محكمة الموضوع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معقب عليها من محكمة التمييز، إلا أن شرط ذلك أن تكون قد حددت عناصر الضرر الموجب له وأن تكون قد أخذت في اعتبارها عند تقديره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الظروف الشخصية للمضرور وأخصها سنه وقت الحادث.</w:t>
      </w:r>
    </w:p>
    <w:p w:rsidR="00037990" w:rsidRPr="00011591" w:rsidRDefault="00037990" w:rsidP="00037990">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إذ كان البين من الأوراق أن مما جرى به دفاع الطاعنة أمام محكمة الاستئناف مغالاة محكمة أول درجة في تقدير التعويض الموروث وعدم بيان الحكم الابتدائي لعناصر الضرر التي أخذها في اعتباره عند تقديره، مكتفيا بقوله إن هذا التعويض مناسب للضرر الحاصل، وإذ اعرض الحكم المطعون فيه عن هذا الدفاع ولم يقل كلمته فيه، وأيد الحكم المستأنف لأسبابه، يكون قاصرا .</w:t>
      </w:r>
    </w:p>
    <w:p w:rsidR="00037990" w:rsidRPr="00011591" w:rsidRDefault="00037990" w:rsidP="00037990">
      <w:pPr>
        <w:pStyle w:val="Title"/>
        <w:spacing w:line="360" w:lineRule="auto"/>
        <w:rPr>
          <w:rFonts w:asciiTheme="majorBidi" w:hAnsiTheme="majorBidi" w:cstheme="majorBidi"/>
          <w:sz w:val="32"/>
          <w:szCs w:val="32"/>
          <w:rtl/>
        </w:rPr>
      </w:pPr>
      <w:r>
        <w:rPr>
          <w:rFonts w:asciiTheme="majorBidi" w:hAnsiTheme="majorBidi" w:cstheme="majorBidi"/>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213360</wp:posOffset>
                </wp:positionV>
                <wp:extent cx="1943100" cy="9525"/>
                <wp:effectExtent l="13335" t="14605" r="1524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27.5pt;margin-top:16.8pt;width:153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" strokeweight="1.5pt"/>
            </w:pict>
          </mc:Fallback>
        </mc:AlternateContent>
      </w:r>
      <w:r w:rsidRPr="00011591">
        <w:rPr>
          <w:rFonts w:asciiTheme="majorBidi" w:hAnsiTheme="majorBidi" w:cstheme="majorBidi"/>
          <w:sz w:val="32"/>
          <w:szCs w:val="32"/>
          <w:rtl/>
          <w:lang w:bidi="ar-BH"/>
        </w:rPr>
        <w:t xml:space="preserve"> </w:t>
      </w:r>
    </w:p>
    <w:p w:rsidR="00037990" w:rsidRPr="00011591" w:rsidRDefault="00037990" w:rsidP="00037990">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المحكمــة</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037990" w:rsidRPr="00011591" w:rsidRDefault="00037990" w:rsidP="00037990">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ان الطعن استوفى اوضاعه الشكلية.</w:t>
      </w:r>
    </w:p>
    <w:p w:rsidR="00037990" w:rsidRPr="00011591" w:rsidRDefault="00037990" w:rsidP="00037990">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الوقائع – على ما يبين من الأوراق – تتحصل في أن المطعون ضدهم أقاموا على الطاعنة الدعوى رقم 8981 لسنة 2013 أمام المحكمة الكبرى المدنية بطلب الحكم بإلزامها بأن تؤدي لهم مبلغ أربعين ألف دينار تعويضا عما لحقهم من أضرار مادية وأدبية وما يستحقونه من تعويض موروث بسبب موت مورثهم "زوج الأولى ووالد الباقين" في حادث مروري تسبب فيه بخطئه قائد إحدى السيارات المؤمن من المسئولية المدنية الناشئة عن حوادثها لدى الطاعنة وانقضت الدعوى الجنائية قِبله لوفاته. حكمت المحكمة بإلزام الطاعنة بأن تؤدي إلى المطعون ضدهم مبلغ ثلاثة وثلاثين ألف دينار، ويشمل المبلغ المقضي به:  مبلغ خمسة وعشرين ألف دينار تعويضا موروثا، ومبلغ ثلاثة آلاف دينار تعويضا للمطعون ضدها الأولى عما لحقها من أضرار مادية، ومبلغ ألف دينار لكل من المطعون ضدهم عن الأضرار الأدبية.  استأنفت الطاعنة هذا الحكم بالاستئناف رقم 1108 لسنة 2014 فحكمت بتأييده، فطعنت في حكمها بطريق التمييز، وأودع المكتب الفني مذكرة برأيه في الطعن.</w:t>
      </w:r>
    </w:p>
    <w:p w:rsidR="00037990" w:rsidRPr="00011591" w:rsidRDefault="00037990" w:rsidP="00037990">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إن الطعن أقيم على سبب من خمسة أوجه تنعى الطاعنة بالوجه الأول منها على الحكم المطعون فيه مخالفة القانون والخطأ في تطبيقه والفساد في الاستدلال والقصور في التسبيب حين أيد الحكم الابتدائي فيما خلص إليه من ثبوت الخطأ في جانب قائد السيارة المؤمن من المسئولية المدنية الناشئة عن حوادثها لديها مع أنه لم يصدر حكم جنائي بإدانته عن الحادث لخطأ وقع منه، ورغم أن الثابت أن خطأ المجني عليه المضرور هو وحده سبب الحادث بعبوره الطريق من غير الأماكن المخصصة للمشاة وهو خطأ بلغ من الجسامة درجة تستغرق أي خطأ يمكن نسبته إلى قائد السيارة مما تنتفي معه مسئوليته عن الحادث وتنحسر تبعا لذلك مسئوليتها عن أداء التعويض المطالب به، فإن الحكم إذ غاير هذا النظر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يقضي برفض الدعوى لانتفاء خطأ قائد السيارة يكون معيبا بما يستوجب نقضه.</w:t>
      </w:r>
    </w:p>
    <w:p w:rsidR="00037990" w:rsidRPr="00011591" w:rsidRDefault="00037990" w:rsidP="00037990">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هذا النعي مردود، ذلك أن تقدير الخطأ المستوجب لمسئولية مرتكبه وتقدير توافر السببية بين الخطأ والنتيجة أو عدم توافره هو من المسائل الموضوعية التي تفصل فيها محكمة الموضوع بغير معقب مادام تقديرها سائغا ومستندا إلى أدلة مقبولة لها أصلها في الأوراق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والأصل أن خطأ المضرور لا يرفع المسئولية إنما يخففها ولا يعفي المسئول استثناءً من هذا الأصل إلا إذا تبين من ظروف الحادث أن خطأ المضرور هو العامل الرئيس والأول في إحداث الضرر الذي أصابه وأنه بلغ من الجسامة درجة بحيث يستغرق خطأ المسئول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لما كان ذلك وكان الحكم الابتدائي المؤيد بالحكم المطعون فيه قد خلص في أسبابه المرتبطة بمنطوقه أن قائد السيارة – أداة الحادث – قد تسبب بخطئه في وقوع الحادث وما نجم عنه من إصابة مورث المطعون ضدهم، التي أودت بحياته، وذلك بقيادته السيارة بحالة ينجم عنها الخطر وعدم منحه المجني عليه فرصة لعبور الطريق حال نزوله من الرصيف وأنه كان في مقدوره تفادي الاصطدام به لو كانت السرعة أقل، وأن مسلك المجني عليه الخاطئ لا يرقى إلى اعتباره قوة قاهرة تقطع علاقة السببية بين هذا الخطأ والنتيجة التي ترتبت عليه، وكان استخلاص الحكم لخطأ قائد السيارة وعدم استغراق خطأ مورث المطعون ضدهم لخطئه، استخلاصا سائغا له معينه الثابت بالأوراق وفيه الرد المسقط لما تثيره الطاعنة بوجه النعي ولا ينال منه ما تمسكت به الطاعنة في دفاعها من أنه لم يصدر حكم جنائي بإدانة قائد السيارة عن الحادث وأن المحكمة الجنائية قضت بانقضاء الدعوى الجنائية لوفاته، ذلك أن عدم رفع الدعوى الجنائية أصلا، أو انقضاءها بعد تحريكها لأي سبب من الأسباب وقبل صدور حكم فيها، لا يمنع القاضي المدني من أن يستخلص الخطأ المدني في حق المسئول بأي وسيلة قانونية يراها مناسبة، إذ لا يقيده في هذا الخصوص سوى صدور حكم جنائي بات صادر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المحكمة الجنائية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قض</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بالبراءة أو الإدانة يكون قد فصل في الأساس المشترك للدعويين فيما يتعلق بوقوع الجريمة وبوصفها القانوني ونسبتها إلى فاعلها، وفي غير ذلك يسترد القاضي المدني سلطته في استخلاص الخطأ ونسبته إلى فاعله ويضحى ما تثيره الطاعنة في هذا الخصوص غير سديد.</w:t>
      </w:r>
    </w:p>
    <w:p w:rsidR="00037990" w:rsidRPr="00011591" w:rsidRDefault="00037990" w:rsidP="00037990">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تنعى الطاعنة بباقي أوجه الطعن على الحكم المطعون فيه مخالفة القانون والقصور في التسبيب والفساد في الاستدلال حين أيد الحكم الابتدائي فيما قضى به من تعويض ملتفتا عما تمسكت به من دفاع حاصله أن المطعون ضده قد ساهم بخطئه في وقوع الحادث عندما شرع في عبور الطريق فجأة من غير الأماكن المخصصة للمشاة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تسمح حالة الطريق بذلك مما يكون له أثر عند تقدير التعويض المستحق له، وأن التعويض الموروث المحكوم به ابتدائيا ينطوي على مغالاة كبيرة كما لم يبين الحكم الصادر به عناصر الضرر التي أخذها في اعتباره عند تقديره وهو ما يعيبه ويستوجب نقضه.</w:t>
      </w:r>
    </w:p>
    <w:p w:rsidR="00037990" w:rsidRPr="00011591" w:rsidRDefault="00037990" w:rsidP="00037990">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إن هذا النعي في محله، ذلك أن اشتراك المجني عليه في الخطأ المسبب للحادث – دون استغراقه – مما يوجب توزيع المسئولية على قدر الخطأ. لما كان ذلك وكان البين من الأوراق أن الحادث المروري الذي أفضى إلى وفاة مورث المطعون ضدهم قد وقع أثناء محاولته عبور الطريق من غير الأماكن المخصصة للمشاة وقد تصادف قدوم السيارة أداة الحادث وهي تسير بسرعة فلم يتمكن قائدها من تفادي الحادث فاصطدم به، وكان هذا المسلك من المجني عليه يعد انحرافا عن السلوك العادي المألوف وما يقتضيه من يقظة وتبصر، مما </w:t>
      </w:r>
      <w:r w:rsidRPr="00011591">
        <w:rPr>
          <w:rFonts w:asciiTheme="majorBidi" w:hAnsiTheme="majorBidi" w:cstheme="majorBidi" w:hint="cs"/>
          <w:sz w:val="32"/>
          <w:szCs w:val="32"/>
          <w:rtl/>
          <w:lang w:bidi="ar-BH"/>
        </w:rPr>
        <w:t xml:space="preserve">يُقد </w:t>
      </w:r>
      <w:r w:rsidRPr="00011591">
        <w:rPr>
          <w:rFonts w:asciiTheme="majorBidi" w:hAnsiTheme="majorBidi" w:cstheme="majorBidi"/>
          <w:sz w:val="32"/>
          <w:szCs w:val="32"/>
          <w:rtl/>
          <w:lang w:bidi="ar-BH"/>
        </w:rPr>
        <w:t>خطأً ساهم به مع خطأ قائد السيارة على النحو الذي بسطته المحكمة من قبل ويكون له أثر عند تقدير التعويض الموروث المستحق له</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أن يكون له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تأثير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حقوق باقي المطعون ضدهم بما لهم من تعويض، وإذ ذهب الحكم المطعون فيه إلى خلاف ذلك وأيد الحكم الابتدائي فما انتهى إليه من خطأ قائد السيارة هو وحده سبب الحادث أخذا منه بما أورده مأمور الضبط القضائي الذي باشر الحادث في تقريره عنه، مع أن ما أثبته المذكور في هذا الخصوص لا يعدو أن يكون رأيا له، إن شاءت أخذت به المحكمة وإن شاءت أطرحته، حسبما تراه موافقا للواقع، باعتبار أن تكييف الفعل ووصفه القانوني وما إذا كان يعد خطأ أم لا من اختصاص القاضي وحده، لأن ذلك من مسائل القانون التي لا يشاركه فيها أحد وهو يخضع في ذلك لرقابة محكمة التمييز، كما أنه ما أثارته الطاعنة بشأن التعويض الموروث فهو في محله، ذلك أنه لما كان ما يترتب على رفع الاستئناف نقل موضوع النزاع في حدود طلبات المستأنف إلى محكمة الدرجة الثانية وإعادة طرحه بكل ما اشتمل عليه من أدلة وأوجه دفاع لتقول كلمتها فيها بقضاء مسبب يواجه عناصر النزاع – القانونية والواقعية على السواء – فإذا استأنف المضرور أو المسئول الحكم الصادر بالتعويض فإن لازم ذلك أن تتصدى المحكمة الاستئنافية لكل عناصر النزاع ومن بينها مقدار التعويض المحكوم به ولها أن ترى فيه رأيا مخالفا لما انتهت إليه محكمة أول درجة. لما كان ذلك، وكان التعويض الموروث ــ وعلى ما جرى به قضاء هذه المحكمة ــ هو مقابل حق المضرور الميت الذي حرم من حياته بسبب الفعل الضار وانتقل هذا الحق المدني إلى ورثته، ولئن كان تقدير هذا التعويض من إطلاقات محكمة الموضوع</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معقب عليها من محكمة التمييز، إلا أن شرط ذلك أن تكون قد حددت عناصر الضرر الموجب له وأن تكون قد أخذت في اعتبارها عند تقديره </w:t>
      </w:r>
      <w:r w:rsidRPr="00011591">
        <w:rPr>
          <w:rFonts w:asciiTheme="majorBidi" w:hAnsiTheme="majorBidi" w:cstheme="majorBidi" w:hint="cs"/>
          <w:sz w:val="32"/>
          <w:szCs w:val="32"/>
          <w:rtl/>
          <w:lang w:bidi="ar-BH"/>
        </w:rPr>
        <w:t xml:space="preserve">جميع </w:t>
      </w:r>
      <w:r w:rsidRPr="00011591">
        <w:rPr>
          <w:rFonts w:asciiTheme="majorBidi" w:hAnsiTheme="majorBidi" w:cstheme="majorBidi"/>
          <w:sz w:val="32"/>
          <w:szCs w:val="32"/>
          <w:rtl/>
          <w:lang w:bidi="ar-BH"/>
        </w:rPr>
        <w:t>الظروف الشخصية للمضرور وأخصها سنه وقت الحادث، وكان البين من الأوراق أن مما جرى به دفاع الطاعنة أمام محكمة الاستئناف مغالاة محكمة أول درجة في تقدير التعويض الموروث وعدم بيان الحكم الابتدائي لعناصر الضرر التي أخذها في اعتباره عند تقديره، مكتفيا بقوله إن هذا التعويض مناسب للضرر الحاصل، وإذ اعرض الحكم المطعون فيه عن هذا الدفاع ولم يقل كلمته فيه، وأيد الحكم المستأنف لأسبابه، يكون قاصرا ومعيبا بما يستوجب نقضه نقضا جزئيا في هذا الخصوص.</w:t>
      </w:r>
    </w:p>
    <w:p w:rsidR="00037990" w:rsidRPr="00011591" w:rsidRDefault="00037990" w:rsidP="00037990">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المحكمة تلزم الطاعنة والمطعون ضدهم بمصاريف الطعن مناصفة فيما بينهم.</w:t>
      </w:r>
    </w:p>
    <w:p w:rsidR="00C0724F" w:rsidRDefault="00037990" w:rsidP="00037990">
      <w:r w:rsidRPr="00011591">
        <w:rPr>
          <w:rFonts w:asciiTheme="majorBidi" w:hAnsiTheme="majorBidi" w:cstheme="majorBidi"/>
          <w:sz w:val="32"/>
          <w:szCs w:val="32"/>
          <w:rtl/>
          <w:lang w:bidi="ar-BH"/>
        </w:rPr>
        <w:t>وحيث إن الموضوع، فيما قضي بنقضه، صالح للفصل فيه، ولما تقدم وبالنظر إلى ظروف الحادث ومساهمة مورث المستأنف ضدهم بخطئه في وقوعه وبالنظر إلى سنه وقت الحادث وهي 86 سنة و4 أشهر تقريبا مما ترى معه المحكمة إعادة تقدير التعويض الموروث بجعله مبلغ عشرة آلاف دينار بدلا مما قضى به الحكم الابتدائي وتلزم المحكمة المستأنف ضدهم بالمناسب من المصاريف الاستئنافية عن هذا الطلب.</w:t>
      </w: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83A81"/>
    <w:multiLevelType w:val="hybridMultilevel"/>
    <w:tmpl w:val="606A4F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0C"/>
    <w:rsid w:val="0003272B"/>
    <w:rsid w:val="00037990"/>
    <w:rsid w:val="00C0724F"/>
    <w:rsid w:val="00E23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7990"/>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037990"/>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7990"/>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037990"/>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2020-04-22T10:23:00Z</dcterms:created>
  <dcterms:modified xsi:type="dcterms:W3CDTF">2020-04-22T10:23:00Z</dcterms:modified>
</cp:coreProperties>
</file>