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29" w:rsidRPr="000758A9" w:rsidRDefault="009B7B29" w:rsidP="009B7B29">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15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9B7B29" w:rsidRPr="000758A9" w:rsidRDefault="009B7B29" w:rsidP="009B7B29">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المستشار عبدالله بن حسن 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علي يوسف منصور ، نادر السيد علي عبدالمطلب ، عبدالله يعقوب عبدالرحمن </w:t>
      </w:r>
    </w:p>
    <w:p w:rsidR="009B7B29" w:rsidRPr="000758A9" w:rsidRDefault="009B7B29" w:rsidP="009B7B29">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B7B29" w:rsidRPr="000758A9" w:rsidRDefault="009B7B29" w:rsidP="009B7B29">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9B7B29" w:rsidRPr="000758A9" w:rsidRDefault="009B7B29" w:rsidP="009B7B29">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107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9B7B29" w:rsidRPr="000758A9" w:rsidRDefault="009B7B29" w:rsidP="009B7B29">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584 لسنة 2015 </w:t>
      </w:r>
    </w:p>
    <w:p w:rsidR="009B7B29" w:rsidRPr="000758A9" w:rsidRDefault="009B7B29" w:rsidP="009B7B29">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(1-5) استئناف. تمييز. حكم "الطعن في الأحكام". دعوى" التمثيل في الخصومة" "انقطاع سير الخصومة".  نظام عام. وكالة. </w:t>
      </w:r>
    </w:p>
    <w:p w:rsidR="009B7B29" w:rsidRPr="000758A9" w:rsidRDefault="009B7B29" w:rsidP="009B7B29">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النائب عن الخصم الذي ينقطع سير الخصومة بزوال صفته. م 165 مرافعات. المقصود به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هو النائب عنه نيابة قانونية ويمثله في الخصومة بهذه الصفة.</w:t>
      </w:r>
    </w:p>
    <w:p w:rsidR="009B7B29" w:rsidRPr="000758A9" w:rsidRDefault="009B7B29" w:rsidP="009B7B29">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الخصومة. عدم انقطاعها بموت وكيل المدعى أو بانقضاء وكالته. </w:t>
      </w:r>
    </w:p>
    <w:p w:rsidR="009B7B29" w:rsidRPr="000758A9" w:rsidRDefault="009B7B29" w:rsidP="009B7B29">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الطعن في الأحكام من المسائل المتعلقة بالنظام العام. لازمه</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المحاكم مراعاتها من تلقاء نفسها ولمحكمة التمييز أن تضيف إلى أسباب الطعن في شأنها ما أغفل الطاعن عن التمسك به في صحيفة الطعن.</w:t>
      </w:r>
    </w:p>
    <w:p w:rsidR="009B7B29" w:rsidRPr="000758A9" w:rsidRDefault="009B7B29" w:rsidP="009B7B29">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(4) ميعاد الاستئناف. بد</w:t>
      </w:r>
      <w:r w:rsidRPr="000758A9">
        <w:rPr>
          <w:rFonts w:asciiTheme="majorBidi" w:hAnsiTheme="majorBidi" w:cstheme="majorBidi" w:hint="cs"/>
          <w:sz w:val="32"/>
          <w:szCs w:val="32"/>
          <w:rtl/>
          <w:lang w:bidi="ar-BH"/>
        </w:rPr>
        <w:t>ؤ</w:t>
      </w:r>
      <w:r w:rsidRPr="000758A9">
        <w:rPr>
          <w:rFonts w:asciiTheme="majorBidi" w:hAnsiTheme="majorBidi" w:cstheme="majorBidi"/>
          <w:sz w:val="32"/>
          <w:szCs w:val="32"/>
          <w:rtl/>
          <w:lang w:bidi="ar-BH"/>
        </w:rPr>
        <w:t>ه من تاريخ إعلان الحكم إلى المحكوم عليه إذا تخلف عن الحضور في جميع</w:t>
      </w:r>
      <w:r w:rsidRPr="000758A9">
        <w:rPr>
          <w:rFonts w:asciiTheme="majorBidi" w:hAnsiTheme="majorBidi" w:cstheme="majorBidi" w:hint="cs"/>
          <w:sz w:val="32"/>
          <w:szCs w:val="32"/>
          <w:rtl/>
          <w:lang w:bidi="ar-BH"/>
        </w:rPr>
        <w:t xml:space="preserve"> الجلسات</w:t>
      </w:r>
      <w:r w:rsidRPr="000758A9">
        <w:rPr>
          <w:rFonts w:asciiTheme="majorBidi" w:hAnsiTheme="majorBidi" w:cstheme="majorBidi"/>
          <w:sz w:val="32"/>
          <w:szCs w:val="32"/>
          <w:rtl/>
          <w:lang w:bidi="ar-BH"/>
        </w:rPr>
        <w:t xml:space="preserve"> التالية لتعجيل الدعوى بعد وقف السير فيها لأي سبب من الأسباب. م 216 مرافعات. المقصود به انقطاع تسلسل الجلسات المحددة لنظر الدعوى لأي سبب.</w:t>
      </w:r>
    </w:p>
    <w:p w:rsidR="009B7B29" w:rsidRPr="000758A9" w:rsidRDefault="009B7B29" w:rsidP="009B7B29">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(5) خلو الأوراق مما يفيد نظر الدعوى بالجلسة المحددة للنطق بالحكم ولم يصدر قرار بتأجيل النطق به إلى جلسة أخرى محدد</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ثبوت صدور الحكم بجلسة أخرى منبتة الصلة عن الجلسات السابقة ولم يحضرها الطاعن ولم يعلن بها. اثره بدء ميعاد الاستئناف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من تاريخ إعلانه بالحكم وليس من تاريخ صدوره. م 216 مرافعات.</w:t>
      </w:r>
    </w:p>
    <w:p w:rsidR="009B7B29" w:rsidRPr="000758A9" w:rsidRDefault="009B7B29" w:rsidP="009B7B29">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lastRenderedPageBreak/>
        <w:t>ـــــــــــــــــــــــــــــــــــــــــــــــــــــــــــــــ</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المقصود بالنائب عن الخصم الذي ينقطع سير الخصومة بزوال صفته بنص المادة 165 من قانون المرافعات هو النائب عنه نيابة قانونية ويمثله في الخصومة بهذه الصفة . </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2- المادة 167 قد نصت على أن الخصومة لا تنقطع بموت وكيل المدع</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ولا بانقضاء وكالته . </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3- مواعيد الطعن في الأحكام من المسائل المتعلقة بالنظام العام التي يتعين على المحاكم مراعاتها من تلقاء نفسها، ولمحكمة التمييز أن تضيف إلى أسباب الطعن في ش</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نها مما أغفل الطاعن عن التمسك به في صحيفة الطعن . </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4- من المقرر بنص المادة 216 من قانون المرافعات أن ميعاد الاستئناف يبدأ من تاريخ اعلان الحكم إلى المحكوم عليه إذا تخلف عن الحضور في جميع الجلسات التالية لتعجيل الدعوى بعد وقف السير فيها لأي سبب من الأسباب، وكان المتفق عليه فقها وقضاء أن المقصود بذلك هو انقطاع تسلسل الجلسات المحددة لنظر الدعوى لأي سبب. </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5- لما كان البين من الأوراق أنه بعد حضور وكيل الطاعن ومرافعته بجلسة 1/10/2012 استمر نظر الدعوى في جلسات متتابعة في تسلسل غير منقطع حتى جلسة 31/3/2014 التي قررت المحكمة فيها التأجيل إلى جلسة 29/4/2014 للنطق بالحكم، وإذ خلت الأوراق مما يفيد نظر الدعوى بهذه الجلسة فلم يصدر الحكم فيها كما لم يصدر قرار بتأجيل النطق به إلى جلسة أخرى محددة بل صدر الحكم بجلسة 28/5/2014 المنبتة الصلة بالجلسات السابقة ولم يحضرها الطاعن أو يعلن بها فإن ميعاد الاستئناف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ه يبدأ من تاريخ إعلانه بالحكم وليس من تاريخ صدوره وفقا لنص المادة 216 من قانون المرافعات . </w:t>
      </w:r>
    </w:p>
    <w:p w:rsidR="009B7B29" w:rsidRPr="000758A9" w:rsidRDefault="009B7B29" w:rsidP="009B7B29">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B7B29" w:rsidRDefault="009B7B29" w:rsidP="009B7B29">
      <w:pPr>
        <w:tabs>
          <w:tab w:val="left" w:pos="3431"/>
          <w:tab w:val="center" w:pos="4153"/>
          <w:tab w:val="left" w:pos="7026"/>
        </w:tabs>
        <w:spacing w:after="0" w:line="360" w:lineRule="auto"/>
        <w:rPr>
          <w:rFonts w:asciiTheme="majorBidi" w:hAnsiTheme="majorBidi" w:cstheme="majorBidi" w:hint="cs"/>
          <w:b/>
          <w:bCs/>
          <w:sz w:val="32"/>
          <w:szCs w:val="32"/>
          <w:rtl/>
          <w:lang w:bidi="ar-BH"/>
        </w:rPr>
      </w:pPr>
      <w:r>
        <w:rPr>
          <w:rFonts w:asciiTheme="majorBidi" w:hAnsiTheme="majorBidi" w:cstheme="majorBidi"/>
          <w:b/>
          <w:bCs/>
          <w:sz w:val="32"/>
          <w:szCs w:val="32"/>
          <w:rtl/>
          <w:lang w:bidi="ar-BH"/>
        </w:rPr>
        <w:tab/>
      </w:r>
    </w:p>
    <w:p w:rsidR="009B7B29" w:rsidRDefault="009B7B29" w:rsidP="009B7B29">
      <w:pPr>
        <w:tabs>
          <w:tab w:val="left" w:pos="3431"/>
          <w:tab w:val="center" w:pos="4153"/>
          <w:tab w:val="left" w:pos="7026"/>
        </w:tabs>
        <w:spacing w:after="0" w:line="360" w:lineRule="auto"/>
        <w:rPr>
          <w:rFonts w:asciiTheme="majorBidi" w:hAnsiTheme="majorBidi" w:cstheme="majorBidi" w:hint="cs"/>
          <w:b/>
          <w:bCs/>
          <w:sz w:val="32"/>
          <w:szCs w:val="32"/>
          <w:rtl/>
          <w:lang w:bidi="ar-BH"/>
        </w:rPr>
      </w:pPr>
    </w:p>
    <w:p w:rsidR="009B7B29" w:rsidRPr="000758A9" w:rsidRDefault="009B7B29" w:rsidP="009B7B29">
      <w:pPr>
        <w:tabs>
          <w:tab w:val="left" w:pos="3431"/>
          <w:tab w:val="center" w:pos="4153"/>
          <w:tab w:val="left" w:pos="7026"/>
        </w:tabs>
        <w:spacing w:after="0" w:line="360" w:lineRule="auto"/>
        <w:rPr>
          <w:rFonts w:asciiTheme="majorBidi" w:hAnsiTheme="majorBidi" w:cstheme="majorBidi"/>
          <w:b/>
          <w:bCs/>
          <w:sz w:val="32"/>
          <w:szCs w:val="32"/>
          <w:rtl/>
          <w:lang w:bidi="ar-BH"/>
        </w:rPr>
      </w:pPr>
      <w:bookmarkStart w:id="0" w:name="_GoBack"/>
      <w:bookmarkEnd w:id="0"/>
      <w:r>
        <w:rPr>
          <w:rFonts w:asciiTheme="majorBidi" w:hAnsiTheme="majorBidi" w:cstheme="majorBidi"/>
          <w:b/>
          <w:bCs/>
          <w:sz w:val="32"/>
          <w:szCs w:val="32"/>
          <w:rtl/>
          <w:lang w:bidi="ar-BH"/>
        </w:rPr>
        <w:tab/>
      </w:r>
      <w:r w:rsidRPr="000758A9">
        <w:rPr>
          <w:rFonts w:asciiTheme="majorBidi" w:hAnsiTheme="majorBidi" w:cstheme="majorBidi"/>
          <w:b/>
          <w:bCs/>
          <w:sz w:val="32"/>
          <w:szCs w:val="32"/>
          <w:rtl/>
          <w:lang w:bidi="ar-BH"/>
        </w:rPr>
        <w:t>المحكمـة</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والمداولة.</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w:t>
      </w:r>
      <w:r w:rsidRPr="000758A9">
        <w:rPr>
          <w:rFonts w:asciiTheme="majorBidi" w:hAnsiTheme="majorBidi" w:cstheme="majorBidi" w:hint="cs"/>
          <w:sz w:val="32"/>
          <w:szCs w:val="32"/>
          <w:rtl/>
          <w:lang w:bidi="ar-BH"/>
        </w:rPr>
        <w:t>و</w:t>
      </w:r>
      <w:r w:rsidRPr="000758A9">
        <w:rPr>
          <w:rFonts w:asciiTheme="majorBidi" w:hAnsiTheme="majorBidi" w:cstheme="majorBidi"/>
          <w:sz w:val="32"/>
          <w:szCs w:val="32"/>
          <w:rtl/>
          <w:lang w:bidi="ar-BH"/>
        </w:rPr>
        <w:t>حيث إن الوقائع – على ما يبين من الأوراق – تتحصل في أن المطعون ضدها رفعت الدعوى رقم 2037/2012 على الطاعن بطلب أمر الأداء المقدم بتاريخ 19/12/2012 إلى القاضي المختص بالمحكمة الكبرى المدنية الذي رفض إصدار الأمر وعرضت الدعوى على المحكمة بطلب المدعية إلزام المدعى عليه أن يدفع لها مبلغ 500/7948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وفوائده التأخيرية. حضر محام موكل عن المدعى عليه جلسة 1/10/2012 وترافع في الدعوى شفاهة على النحو الثابت بمحضر الجلسة. واستمر نظر الدعوى بعدها في جلسات متتابعة في تسلسل غير منقطع تخلف المدعى عليه عن حضورها بنفسه أو بوكيله حتى جلسة 31/3/2014 </w:t>
      </w:r>
      <w:r w:rsidRPr="000758A9">
        <w:rPr>
          <w:rFonts w:asciiTheme="majorBidi" w:hAnsiTheme="majorBidi" w:cstheme="majorBidi" w:hint="cs"/>
          <w:sz w:val="32"/>
          <w:szCs w:val="32"/>
          <w:rtl/>
          <w:lang w:bidi="ar-BH"/>
        </w:rPr>
        <w:t xml:space="preserve">التي </w:t>
      </w:r>
      <w:r w:rsidRPr="000758A9">
        <w:rPr>
          <w:rFonts w:asciiTheme="majorBidi" w:hAnsiTheme="majorBidi" w:cstheme="majorBidi"/>
          <w:sz w:val="32"/>
          <w:szCs w:val="32"/>
          <w:rtl/>
          <w:lang w:bidi="ar-BH"/>
        </w:rPr>
        <w:t>قررت المحكمة فيها التأجيل</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إلى جلسة 29/4/2012 للنطق بالحكم، وبتاريخ 28/5/2012 حكمت المحكمة بإلزام المدعى عليه</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أن تؤدي للمدعية المبلغ المطلوب وفوائده، فاستأنفت المدعى عليها هذا الحكم بالاستئناف رقم 4578/2014 باللائحة المؤرخة 24/12/2014 وبتاريخ </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حكمت محكمة الاستئناف العليا بسقوط حقه في الاستئناف ، فطعن في هذا الحكم بطريق التمييز ، وأودع المكتب الفني لمحكمة التمييز مذكرة برأيه في الطعن.</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الطاعن ينعى على الحكم المطعون فيه مخالفة القانون فيما قضى بسقوط حقه في الاستئناف بناء على أنه حضر جلسة 1/10/2012 بوكيل فيكون ميعاد الاستئناف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ه 45 يوما من تاريخ صدور الحكم 28/5/2014 وأنه انقضى من قبل رفع الاستئناف بتاريخ 24/12/2014 ملتفتا عما تمسك به أن المحامي الذي حضر عنه أمام محكمة الدرجة الأولى اسقطت جنسيته البحرينية أثناء تداول الدعوى مما ترتب عليه شطب اسمه من جدول المحامين وزوال صفته في الوكالة عنه مما أدى إلى انقطاع سير الخصومة طبقا لنص المادة 165 من قانون المرافعات وإذ لم يحضر بعد انقطاعها حتى صدور الحكم فلا يبدأ ميعاد الاستئناف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إلا من تاريخ إعلانه بالحكم وفقا لنص المادة 216 من قانون المرافعات خلافا لما ذهب إليه الحكم المطعون فيه وبنى عليه قضاءه وهو ما يعيبه ويستوجب نقضه.</w:t>
      </w:r>
    </w:p>
    <w:p w:rsidR="009B7B29" w:rsidRPr="000758A9" w:rsidRDefault="009B7B29" w:rsidP="009B7B29">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w:t>
      </w:r>
      <w:r w:rsidRPr="000758A9">
        <w:rPr>
          <w:rFonts w:asciiTheme="majorBidi" w:hAnsiTheme="majorBidi" w:cstheme="majorBidi"/>
          <w:sz w:val="32"/>
          <w:szCs w:val="32"/>
          <w:rtl/>
          <w:lang w:bidi="ar-BH"/>
        </w:rPr>
        <w:tab/>
        <w:t xml:space="preserve">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 وإن كان المقصود بالنائب عن الخصم الذي ينقطع سير الخصومة بزوال صفته بنص المادة 165 من قانون المرافعات هو النائب عنه نيابة قانونية ويمثله في الخصومة بهذه الصفة وكانت المادة 167 قد نصت على أن الخصومة لا تنقطع بموت وكيل المدعى ولا بانقضاء وكالته، فإنه لما كانت مواعيد الطعن في الأحكام من المسائل المتعلقة بالنظام العام التي يتعين</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المحاكم مراعاتها من تلقاء نفسها، ولمحكمة التمييز أن تضيف إلى أسباب الطعن في ش</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نها ما أغفل الطاعن عن التمسك به في صحيفة الطعن، وكان من المقرر بنص المادة 216 من قانون المرافعات أن ميعاد الاستئناف يبدأ من تاريخ اعلان الحكم إلى المحكوم عليه إذا تخلف عن الحضور في جميع الجلسات التالية لتعجيل الدعوى بعد وقف السير فيها لأي سبب من الأسباب، وكان المتفق عليه فقها وقضاء أن المقصود بذلك هو انقطاع تسلسل الجلسات المحددة لنظر الدعوى لأي سبب. لما كان ذلك وكان البين من الأوراق أنه بعد حضور وكيل الطاعن ومرافعته بجلسة 1/10/2012 استمر نظر الدعوى في جلسات متتابعة في تسلسل غير منقطع حتى جلسة 31/3/2014 التي قررت المحكمة فيها التأجيل إلى جلسة 29/4/2014 للنطق بالحكم، وإذ خلت الأوراق مما يفيد نظر الدعوى بهذه الجلسة فلم يصدر الحكم فيها كما لم يصدر قرار بتأجيل النطق به إلى جلسة أخرى محددة بل صدر الحكم بجلسة 28/5/2014 المنبتة الصلة بالجلسات السابقة ولم يحضرها الطاعن أو يعلن بها فإن ميعاد الاستئناف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يبدأ من تاريخ إعلانه بالحكم وليس من تاريخ صدوره وفقا لنص المادة 216 من قانون المرافعات وإذ خلت الأوراق مما يفيد إعلانه بالحكم فقد ظل باب الاستئناف مفتوحا أمامه ولم يسقط حقه فيه حتى رفعه بتاريخ 24/12/2014</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وإذ ذهب الحكم المطعون فيه إلى خلاف ذلك وقضى بسقوط حقه في الاستئناف بمضي ميعاده بدءا من تاريخ صدور الحكم المستأنف فإنه يكون قد خالف القانون و</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خطأ في تطبيقه فيتعين نقضه مع الإحالة وإلزام المطعون ضده مصاريف الطعن. </w:t>
      </w:r>
    </w:p>
    <w:p w:rsidR="00A232C2" w:rsidRDefault="00A232C2">
      <w:pPr>
        <w:rPr>
          <w:lang w:bidi="ar-BH"/>
        </w:rPr>
      </w:pPr>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7A1"/>
    <w:rsid w:val="0003272B"/>
    <w:rsid w:val="009B7B29"/>
    <w:rsid w:val="00A232C2"/>
    <w:rsid w:val="00FD0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29"/>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29"/>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2020-04-21T11:39:00Z</dcterms:created>
  <dcterms:modified xsi:type="dcterms:W3CDTF">2020-04-21T11:39:00Z</dcterms:modified>
</cp:coreProperties>
</file>