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D6A" w:rsidRPr="000758A9" w:rsidRDefault="00F34D6A" w:rsidP="00F34D6A">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24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F34D6A" w:rsidRPr="000758A9" w:rsidRDefault="00F34D6A" w:rsidP="00F34D6A">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المستشار د. طه عبدالمولى طه</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وعضوية المستشارين</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إبراهيم محمد المرصفاوي ، عدنان عبدالله الشيخ هزيم الشامسي ، محمد حسن البوعينين   </w:t>
      </w:r>
    </w:p>
    <w:p w:rsidR="00F34D6A" w:rsidRPr="000758A9" w:rsidRDefault="00F34D6A" w:rsidP="00F34D6A">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34D6A" w:rsidRPr="000758A9" w:rsidRDefault="00F34D6A" w:rsidP="00F34D6A">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  116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F34D6A" w:rsidRPr="000758A9" w:rsidRDefault="00F34D6A" w:rsidP="00F34D6A">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473 لسنة 2015 </w:t>
      </w:r>
    </w:p>
    <w:p w:rsidR="00F34D6A" w:rsidRPr="000758A9" w:rsidRDefault="00F34D6A" w:rsidP="00F34D6A">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غش. محكمة الموضوع. وكالة.</w:t>
      </w:r>
    </w:p>
    <w:p w:rsidR="00F34D6A" w:rsidRPr="000758A9" w:rsidRDefault="00F34D6A" w:rsidP="00F34D6A">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انصراف اثر التصرف الذي يبرمه الوكيل في حق الأصيل يقف عند حد الغش. مؤدى ذلك تواطؤ الوكيل مع الغير للإضرار بحقوق الموكل. أثره عدم سريان تصرفه في حق الموكل. علة ذلك. محكمة الموضوع. سلطتها في استخلاص هذا الغش وذلك التواطؤ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معقب عليها من محكمة التمييز متى كان استخلاصها سائغا.</w:t>
      </w:r>
    </w:p>
    <w:p w:rsidR="00F34D6A" w:rsidRPr="000758A9" w:rsidRDefault="00F34D6A" w:rsidP="00F34D6A">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34D6A" w:rsidRPr="000758A9" w:rsidRDefault="00F34D6A" w:rsidP="00F34D6A">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لئن كان مؤد</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ما تنص عليه المادة 62 من القانون المدني أن التصرف الذي يبرمه الوكيل في حدود وكالته تنصرف </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ثاره إلى الأصيل، إلا أن نيابة الوكيل عن الموكل تقف عند حد الغش، فإذا تواطأ الوكيل مع الغير للإضرار بحقوق الموكل فإن تصرف الوكيل في هذه الحالة لا يسري في حق الموكل، لأن الوكيل ملزم قانونا بتنفيذ ما تعهد به بحسن ني</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فإذا أخل بهذا الواجب رُد عليه قصده باعتبار ان الغش يفسد كل شيء، ومحكمة الموضوع هي المنوط بها استخلاص هذا الغش وذلك التواطؤ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معقب عليها</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من محكمة التمييز، مادام كان استخلاصها سائغا وتقديرها مقبولا. </w:t>
      </w:r>
    </w:p>
    <w:p w:rsidR="00F34D6A" w:rsidRPr="000758A9" w:rsidRDefault="00F34D6A" w:rsidP="00F34D6A">
      <w:pPr>
        <w:tabs>
          <w:tab w:val="left" w:pos="708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34D6A" w:rsidRDefault="00F34D6A" w:rsidP="00F34D6A">
      <w:pPr>
        <w:tabs>
          <w:tab w:val="left" w:pos="7026"/>
        </w:tabs>
        <w:spacing w:after="0" w:line="360" w:lineRule="auto"/>
        <w:jc w:val="center"/>
        <w:rPr>
          <w:rFonts w:asciiTheme="majorBidi" w:hAnsiTheme="majorBidi" w:cstheme="majorBidi" w:hint="cs"/>
          <w:b/>
          <w:bCs/>
          <w:sz w:val="32"/>
          <w:szCs w:val="32"/>
          <w:rtl/>
          <w:lang w:bidi="ar-BH"/>
        </w:rPr>
      </w:pPr>
    </w:p>
    <w:p w:rsidR="00F34D6A" w:rsidRDefault="00F34D6A" w:rsidP="00F34D6A">
      <w:pPr>
        <w:tabs>
          <w:tab w:val="left" w:pos="7026"/>
        </w:tabs>
        <w:spacing w:after="0" w:line="360" w:lineRule="auto"/>
        <w:jc w:val="center"/>
        <w:rPr>
          <w:rFonts w:asciiTheme="majorBidi" w:hAnsiTheme="majorBidi" w:cstheme="majorBidi" w:hint="cs"/>
          <w:b/>
          <w:bCs/>
          <w:sz w:val="32"/>
          <w:szCs w:val="32"/>
          <w:rtl/>
          <w:lang w:bidi="ar-BH"/>
        </w:rPr>
      </w:pPr>
    </w:p>
    <w:p w:rsidR="00F34D6A" w:rsidRPr="000758A9" w:rsidRDefault="00F34D6A" w:rsidP="00F34D6A">
      <w:pPr>
        <w:tabs>
          <w:tab w:val="left" w:pos="7026"/>
        </w:tabs>
        <w:spacing w:after="0" w:line="360" w:lineRule="auto"/>
        <w:jc w:val="center"/>
        <w:rPr>
          <w:rFonts w:asciiTheme="majorBidi" w:hAnsiTheme="majorBidi" w:cstheme="majorBidi"/>
          <w:b/>
          <w:bCs/>
          <w:sz w:val="32"/>
          <w:szCs w:val="32"/>
          <w:rtl/>
          <w:lang w:bidi="ar-BH"/>
        </w:rPr>
      </w:pPr>
      <w:bookmarkStart w:id="0" w:name="_GoBack"/>
      <w:bookmarkEnd w:id="0"/>
      <w:r w:rsidRPr="000758A9">
        <w:rPr>
          <w:rFonts w:asciiTheme="majorBidi" w:hAnsiTheme="majorBidi" w:cstheme="majorBidi"/>
          <w:b/>
          <w:bCs/>
          <w:sz w:val="32"/>
          <w:szCs w:val="32"/>
          <w:rtl/>
          <w:lang w:bidi="ar-BH"/>
        </w:rPr>
        <w:lastRenderedPageBreak/>
        <w:t>المحكمـة</w:t>
      </w:r>
    </w:p>
    <w:p w:rsidR="00F34D6A" w:rsidRPr="000758A9" w:rsidRDefault="00F34D6A" w:rsidP="00F34D6A">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F34D6A" w:rsidRPr="000758A9" w:rsidRDefault="00F34D6A" w:rsidP="00F34D6A">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حيث إن الطعن استوفى أوضاعه الشكلية.</w:t>
      </w:r>
    </w:p>
    <w:p w:rsidR="00F34D6A" w:rsidRPr="000758A9" w:rsidRDefault="00F34D6A" w:rsidP="00F34D6A">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الوقائع</w:t>
      </w:r>
      <w:r w:rsidRPr="000758A9">
        <w:rPr>
          <w:rFonts w:asciiTheme="majorBidi" w:hAnsiTheme="majorBidi" w:cstheme="majorBidi"/>
          <w:sz w:val="32"/>
          <w:szCs w:val="32"/>
          <w:lang w:bidi="ar-BH"/>
        </w:rPr>
        <w:t xml:space="preserve">- </w:t>
      </w:r>
      <w:r w:rsidRPr="000758A9">
        <w:rPr>
          <w:rFonts w:asciiTheme="majorBidi" w:hAnsiTheme="majorBidi" w:cstheme="majorBidi"/>
          <w:sz w:val="32"/>
          <w:szCs w:val="32"/>
          <w:rtl/>
          <w:lang w:bidi="ar-BH"/>
        </w:rPr>
        <w:t xml:space="preserve"> على ما يبين من الأوراق - تتحصل في أن الطاعنة أقامت على المطعون  ضده الدعوى رقم 11152 لسنة 2008 أمام المحكمة الكبرى المدنية بطلب الحكم بإلزامه بأن يؤدي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ها مبلغ 34526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وفائدته التأخيرية، فضلا عن مبلغ 570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قيمة ما تكبدته من نفقات لترجمة المستندات، قائلة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 بموجب عقد مؤرخ في 21/11/2004 التزمت فيه بإنشاء مبنى ---------------- بمستشفى السلمانية لصالح المطعون ضده وبعد الانتهاء من الأعمال وتسليمها له كاملة، فوجئت به يستقطع من مستحقاتها المبلغ المذكور بزعم أنه مقابل أعمال لا صلة لها بالمشروع، وإنما تخص المدير المنتدب لإدارته من قبلها. تمسك المطعون ضده بدفاع حاصله أن المبلغ الذي تطالب به الطاعنة لا يتعلق بالمشروع الذي عُهد اليها بقيامه وأنها تواط</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ت مع مدير المشروع التابع له وقامت بتوريد أشياء لشخصه وأضافت قيمتها عليها، ولما اكتشفت ذلك أبلغت الجهات المختصة ضده ثم أقامت الدعوى المتقابلة رقم 160 لسنة 2010 أمام ذات المحكمة بإثبات أحقيتها في هذا المبلغ وبإجراء المقاصة القضائية بين </w:t>
      </w:r>
      <w:r w:rsidRPr="000758A9">
        <w:rPr>
          <w:rFonts w:asciiTheme="majorBidi" w:hAnsiTheme="majorBidi" w:cstheme="majorBidi" w:hint="cs"/>
          <w:sz w:val="32"/>
          <w:szCs w:val="32"/>
          <w:rtl/>
          <w:lang w:bidi="ar-BH"/>
        </w:rPr>
        <w:t xml:space="preserve">ما </w:t>
      </w:r>
      <w:r w:rsidRPr="000758A9">
        <w:rPr>
          <w:rFonts w:asciiTheme="majorBidi" w:hAnsiTheme="majorBidi" w:cstheme="majorBidi"/>
          <w:sz w:val="32"/>
          <w:szCs w:val="32"/>
          <w:rtl/>
          <w:lang w:bidi="ar-BH"/>
        </w:rPr>
        <w:t>هو مستحق لها في ذمة الطاعنة وما تطالبها به. ضمت المحكمة الدعويين، ثم ندبت خبيرا فيهما، وبعد أن أودع الخبير تقريره أجابت الطاعنة لطلبها الأول دون الثاني ورفضت طلب المطعون ضده. استأنفت الطاعنة هذا الحكم – فيما رفض لها – بالاستئناف رقم 349/2012 أمام محكمة الاستئناف العليا المدنية، واستأنفه المطعون ضده بالاستئناف رقم 555 لسنة 2012 أمام ذات المحكمة، وبعد أن ضمت الاستئنافين رفضت استئناف الطاعنة، وأجابت المطعون ضده في استئنافه ورفضت الدعوى الأصلية فطعنت الطاعنة في هذا الحكم بطريق التمييز، وأودع المكتب الفني مذكرة برأيه.</w:t>
      </w:r>
    </w:p>
    <w:p w:rsidR="00F34D6A" w:rsidRPr="000758A9" w:rsidRDefault="00F34D6A" w:rsidP="00F34D6A">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الطعن أقيم على سبب من خمسة أوجه تنعى بها الطاعنة على الحكم المطعون فيه الخطأ في تطبيق القانون ومخالفة الثابت بالأوراق والفساد في الاستدلال والقصور في التسبيب والاخلال بحق الدفاع فيما قضى بأحقية المطعون ضده في المبلغ الذي اقتطعه من مستحقاتها لما ذهب إليه من انتفاء مسئوليته عن الأشياء التي قامت بتوريدها إلى المشروع الذي عهد إليها به وانها تخص المدير المعين من قبله تواطؤا معها، مع أن الثابت بعقد المقاولة المبرم مع المطعون ضده أن مدير المشروع الذي عينه المذكور هو صاحب العمل وهو مسئول الاشراف والتوجيه والادارة وانها ملزمة بتنفيذ التعليمات كافة التي يصدرها لها وأن ما قامت بتوريده من أشياء كانت بناء على طلبه وقد وافق عليها مساح الكميات وكذا </w:t>
      </w:r>
      <w:r w:rsidRPr="000758A9">
        <w:rPr>
          <w:rFonts w:asciiTheme="majorBidi" w:hAnsiTheme="majorBidi" w:cstheme="majorBidi" w:hint="cs"/>
          <w:sz w:val="32"/>
          <w:szCs w:val="32"/>
          <w:rtl/>
          <w:lang w:bidi="ar-BH"/>
        </w:rPr>
        <w:t>جميع</w:t>
      </w:r>
      <w:r w:rsidRPr="000758A9">
        <w:rPr>
          <w:rFonts w:asciiTheme="majorBidi" w:hAnsiTheme="majorBidi" w:cstheme="majorBidi"/>
          <w:sz w:val="32"/>
          <w:szCs w:val="32"/>
          <w:rtl/>
          <w:lang w:bidi="ar-BH"/>
        </w:rPr>
        <w:t xml:space="preserve"> المختصين لدى المطعون ضده فضلا عن استشاري المشروع وليس في الأوراق ما يشير إلى سوء نيتها أو تواطئها مع نائب المطعون ضده ويضحى هو المسئول أمامها عن قيمة هذه الاشياء، وهو وشأنه في الرجوع على مدير المشروع الذي عينه ولا يحق له الامتناع عن دفع باقيمستحقاتهاومن بينها المبلغ محل النزاع، فإن الحكم إذ ذهب إلى خلاف ذلك يكون معيبا بما يستوجب نقضه.</w:t>
      </w:r>
    </w:p>
    <w:p w:rsidR="00F34D6A" w:rsidRPr="000758A9" w:rsidRDefault="00F34D6A" w:rsidP="00F34D6A">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هذا النعي مردود</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أنه ولئن كان مؤد</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ما تنص عليه المادة 62 من القانون المدني أن ال</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 xml:space="preserve">صرف الذي يبرمه الوكيل في حدود وكالته تنصرف </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ثاره إلى الأصيل، إلا أن نيابة الوكيل عن الموكل تقف عند حد الغش، فإذا تواطأ الوكيل مع الغير للإضرار بحقوق الموكل فإن تصرف الوكيل في هذه الحالة لا يسري في حق الموكل، لأن الوكيل ملزم قانونا بتنفيذ ما تعهد به بحسن ني</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فإذا أخل بهذا الواجب رُد عليه قصده باعتبار ان الغش يفسد كل شيء، ومحكمة الموضوع هي المنوط بها استخلاص هذا الغش وذلك التواطؤ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معقب عليها من محكمة التمييز، مادام كان استخلاصها سائغا وتقديرها مقبولا</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لما كان ذلك وكان الحكم المطعون فيه قد بنى قضاءه برفض دعوى الطاعنة بأحقيتها في المبلغ محل النزاع على ما اورده من أسباب حاصلها أن الاشياء التي قامت الطاعنة بتوريدها ولئن كانت تنفيذا لتعليمات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صدرها نائب المطعون ضده لها، غير أنها لا تمت للمشروع الذي عهد اليها القيام به، فالبعض منها عبارة عن قيمة مفروشات لا تمت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لمشروع بأي صلة ، والبعض ال</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 xml:space="preserve">خر عبارة عن اجور سائقين مع وجود سائق تابع للمطعون ضده، وكذا مبالغ تم صرفها لمكتب سفريات قيمة تذاكر سفر، ودلل الحكم على سوء نية الطاعنة من أنها ملزمة طبقا للعقد المبرم مع المطعون ضده، بعدم مخالفة أي بند من بنوده وبعدم تنفيذ تعليمات المطعون ضده التي تنطوي على ثمة مخالفة للعقد ، ورتب على ذلك قضاءه بأن تصرف نائب المطعون ضده الذي </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رتب في ذمته المبلغ المطالب به تعد خارجة عن حدود نيابته ولا تنفذ في حقه مادام لم يقرها وأن الطاعنة وشأنها في الرجوع على مديرالمشروع متى شاءت، وكان هذا الذي انتهى اليه الحكم لا مخالفة فيه للثابت بالأوراق وهو تطبيق صحيح للقانون فإن النعي عليه يكون قائما على غير أساس.</w:t>
      </w:r>
    </w:p>
    <w:p w:rsidR="00F34D6A" w:rsidRPr="000758A9" w:rsidRDefault="00F34D6A" w:rsidP="00F34D6A">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ولما تقدم يتعين القضاء برفض الطعن وبإلزام الطاعنة بالمصاريف.</w:t>
      </w:r>
    </w:p>
    <w:p w:rsidR="00A232C2" w:rsidRDefault="00A232C2">
      <w:pPr>
        <w:rPr>
          <w:lang w:bidi="ar-BH"/>
        </w:rPr>
      </w:pPr>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E3"/>
    <w:rsid w:val="0003272B"/>
    <w:rsid w:val="00A232C2"/>
    <w:rsid w:val="00EF23E3"/>
    <w:rsid w:val="00F34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D6A"/>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D6A"/>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2020-04-21T11:44:00Z</dcterms:created>
  <dcterms:modified xsi:type="dcterms:W3CDTF">2020-04-21T11:44:00Z</dcterms:modified>
</cp:coreProperties>
</file>