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8CF" w:rsidRPr="000758A9" w:rsidRDefault="00D858CF" w:rsidP="00D858CF">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5 من </w:t>
      </w:r>
      <w:r w:rsidRPr="000758A9">
        <w:rPr>
          <w:rFonts w:asciiTheme="majorBidi" w:hAnsiTheme="majorBidi" w:cstheme="majorBidi"/>
          <w:b/>
          <w:bCs/>
          <w:sz w:val="32"/>
          <w:szCs w:val="32"/>
          <w:rtl/>
        </w:rPr>
        <w:t>نوفمبر</w:t>
      </w:r>
      <w:r w:rsidRPr="000758A9">
        <w:rPr>
          <w:rFonts w:asciiTheme="majorBidi" w:hAnsiTheme="majorBidi" w:cstheme="majorBidi"/>
          <w:b/>
          <w:bCs/>
          <w:sz w:val="32"/>
          <w:szCs w:val="32"/>
          <w:rtl/>
          <w:lang w:bidi="ar-BH"/>
        </w:rPr>
        <w:t xml:space="preserve"> سنة 2017</w:t>
      </w:r>
    </w:p>
    <w:p w:rsidR="00D858CF" w:rsidRPr="000758A9" w:rsidRDefault="00D858CF" w:rsidP="00D858C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برئاسة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المستشار عبدالله بن حسن البوعينين</w:t>
      </w:r>
      <w:r w:rsidRPr="000758A9">
        <w:rPr>
          <w:rFonts w:asciiTheme="majorBidi" w:hAnsiTheme="majorBidi" w:cstheme="majorBidi" w:hint="cs"/>
          <w:b/>
          <w:bCs/>
          <w:sz w:val="32"/>
          <w:szCs w:val="32"/>
          <w:rtl/>
          <w:lang w:bidi="ar-BH"/>
        </w:rPr>
        <w:t xml:space="preserve"> ،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D858CF" w:rsidRPr="000758A9" w:rsidRDefault="00D858CF" w:rsidP="00D858C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858CF" w:rsidRPr="000758A9" w:rsidRDefault="00D858CF" w:rsidP="00D858CF">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D858CF" w:rsidRPr="000758A9" w:rsidRDefault="00D858CF" w:rsidP="00D858CF">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120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D858CF" w:rsidRPr="000758A9" w:rsidRDefault="00D858CF" w:rsidP="00D858C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500 لسنة 2016 </w:t>
      </w:r>
    </w:p>
    <w:p w:rsidR="00D858CF" w:rsidRPr="000758A9" w:rsidRDefault="00D858CF" w:rsidP="00D858CF">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2) اختصاص . استئناف . تمييز . حكم " الطعن فى الأحكام".</w:t>
      </w:r>
      <w:r w:rsidRPr="000758A9">
        <w:rPr>
          <w:rFonts w:asciiTheme="majorBidi" w:hAnsiTheme="majorBidi" w:cstheme="majorBidi"/>
          <w:b/>
          <w:bCs/>
          <w:sz w:val="32"/>
          <w:szCs w:val="32"/>
          <w:u w:val="single"/>
          <w:lang w:bidi="ar-BH"/>
        </w:rPr>
        <w:t xml:space="preserve"> </w:t>
      </w:r>
      <w:r w:rsidRPr="000758A9">
        <w:rPr>
          <w:rFonts w:asciiTheme="majorBidi" w:hAnsiTheme="majorBidi" w:cstheme="majorBidi"/>
          <w:b/>
          <w:bCs/>
          <w:sz w:val="32"/>
          <w:szCs w:val="32"/>
          <w:u w:val="single"/>
          <w:rtl/>
          <w:lang w:bidi="ar-BH"/>
        </w:rPr>
        <w:t xml:space="preserve">قضاء. غرفة البحرين لتسوية المنازعات .             </w:t>
      </w:r>
    </w:p>
    <w:p w:rsidR="00D858CF" w:rsidRPr="000758A9" w:rsidRDefault="00D858CF" w:rsidP="00D858C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عدم جواز الطعن بالاستئناف يقتصر على الأحكام الت</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تصدر أثناء سير الدعوى ولا تنته</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بها الخصومة إلا بعد صدور الحكم المنه</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للخصومة كلها أمام محكمة الدرجة الأولى . م 214/1 مرافعات . قضاء المحكمة بعدم اختصاصها بنظر الدعوى ينه</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الخصومة كلها أمامها . لازمه جواز استئنافه .  </w:t>
      </w:r>
    </w:p>
    <w:p w:rsidR="00D858CF" w:rsidRPr="000758A9" w:rsidRDefault="00D858CF" w:rsidP="00D858C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w:t>
      </w:r>
    </w:p>
    <w:p w:rsidR="00D858CF" w:rsidRPr="000758A9" w:rsidRDefault="00D858CF" w:rsidP="00D858C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(2) غرفة البحرين لتسوية المنازعات الاقتصادية والمادية والاستثمارية جه</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قضائية مستقلة أنشئت بالقانون رقم 30 لسنة 2009 . المنازعات المختصة بنظرها . ماهيتها . يتولى المجلس الأعلى </w:t>
      </w:r>
      <w:r w:rsidRPr="000758A9">
        <w:rPr>
          <w:rFonts w:asciiTheme="majorBidi" w:hAnsiTheme="majorBidi" w:cstheme="majorBidi" w:hint="cs"/>
          <w:sz w:val="32"/>
          <w:szCs w:val="32"/>
          <w:rtl/>
          <w:lang w:bidi="ar-BH"/>
        </w:rPr>
        <w:t>ل</w:t>
      </w:r>
      <w:r w:rsidRPr="000758A9">
        <w:rPr>
          <w:rFonts w:asciiTheme="majorBidi" w:hAnsiTheme="majorBidi" w:cstheme="majorBidi"/>
          <w:sz w:val="32"/>
          <w:szCs w:val="32"/>
          <w:rtl/>
          <w:lang w:bidi="ar-BH"/>
        </w:rPr>
        <w:t>لقضاء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شراف عليها وندب القضاة إليها .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نها يعتبر حكما صادرا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محاكم البحرين . جواز الطعن فيه أمام محكمة التمييز . اعتبارها 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الجهاز القضائ</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مملكة البحرين . مؤدى ذلك . إذا تبين للمحكمة الت</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رفعت إليها الدعوى ابتداء أنها غير مختص</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بنظر النزاع وأنه ينعقد إلى غرفة البحرين لتسوية المنازعات وجوبا فانه يتعين عليها أن تحيل إليها الدعوى إعمالا لنص المادة 28 مرافعات .  </w:t>
      </w:r>
    </w:p>
    <w:p w:rsidR="00D858CF" w:rsidRPr="000758A9" w:rsidRDefault="00D858CF" w:rsidP="00D858CF">
      <w:pPr>
        <w:spacing w:after="0" w:line="360" w:lineRule="auto"/>
        <w:jc w:val="both"/>
        <w:rPr>
          <w:rFonts w:asciiTheme="majorBidi" w:hAnsiTheme="majorBidi" w:cstheme="majorBidi"/>
          <w:sz w:val="32"/>
          <w:szCs w:val="32"/>
          <w:rtl/>
          <w:lang w:bidi="ar-BH"/>
        </w:rPr>
      </w:pPr>
    </w:p>
    <w:p w:rsidR="00D858CF" w:rsidRPr="000758A9" w:rsidRDefault="00D858CF" w:rsidP="00D858CF">
      <w:pPr>
        <w:spacing w:after="0" w:line="360" w:lineRule="auto"/>
        <w:jc w:val="both"/>
        <w:rPr>
          <w:rFonts w:asciiTheme="majorBidi" w:hAnsiTheme="majorBidi" w:cstheme="majorBidi"/>
          <w:sz w:val="32"/>
          <w:szCs w:val="32"/>
          <w:rtl/>
          <w:lang w:bidi="ar-BH"/>
        </w:rPr>
      </w:pPr>
    </w:p>
    <w:p w:rsidR="00D858CF" w:rsidRPr="000758A9" w:rsidRDefault="00D858CF" w:rsidP="00D858CF">
      <w:pPr>
        <w:spacing w:after="0" w:line="360" w:lineRule="auto"/>
        <w:jc w:val="both"/>
        <w:rPr>
          <w:rFonts w:asciiTheme="majorBidi" w:hAnsiTheme="majorBidi" w:cstheme="majorBidi"/>
          <w:sz w:val="32"/>
          <w:szCs w:val="32"/>
          <w:rtl/>
          <w:lang w:bidi="ar-BH"/>
        </w:rPr>
      </w:pPr>
    </w:p>
    <w:p w:rsidR="00D858CF" w:rsidRPr="000758A9" w:rsidRDefault="00D858CF" w:rsidP="00D858CF">
      <w:pPr>
        <w:spacing w:after="0" w:line="360" w:lineRule="auto"/>
        <w:jc w:val="both"/>
        <w:rPr>
          <w:rFonts w:asciiTheme="majorBidi" w:hAnsiTheme="majorBidi" w:cstheme="majorBidi"/>
          <w:sz w:val="32"/>
          <w:szCs w:val="32"/>
          <w:rtl/>
          <w:lang w:bidi="ar-BH"/>
        </w:rPr>
      </w:pPr>
    </w:p>
    <w:p w:rsidR="00D858CF" w:rsidRPr="000758A9" w:rsidRDefault="00D858CF" w:rsidP="00D858C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مفهوم النص في المادة 214/1 من قانون المرافعات بعدم جواز الطعن بالاستئناف يقتصر على الأحكام التي تصدر أثناء سير الدعوى ولا تنتهي به الخصومة إلا بعد صدور الحكم المنهي للخصومة كلها أمام محكمة الدرجة الأولى وكان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نها بعدم اختصاصها بنظر الدعوى قد أنهى الخصومة كلها أمامها ولم يستبق منها شيئا امامها ولن يعقبه فيها حكم آخر فيجوز استئنافه. </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لما كانت غرفة البحرين لتسوية المنازعات الاقتصادية والمالية والاستثمارية – جهة قضائية مستقلة – أنشئت بموجب المرسوم بقانون رقم 30 لسنة 2009 تختص وجوبا بالفصل في المنازعات التي ينعقد الاختصاص – في الأصل – بنظرها إلى محاكم القضاء العادي متى زادت قيمة المطالبة </w:t>
      </w:r>
      <w:r w:rsidRPr="000758A9">
        <w:rPr>
          <w:rFonts w:asciiTheme="majorBidi" w:hAnsiTheme="majorBidi" w:cstheme="majorBidi" w:hint="cs"/>
          <w:sz w:val="32"/>
          <w:szCs w:val="32"/>
          <w:rtl/>
          <w:lang w:bidi="ar-BH"/>
        </w:rPr>
        <w:t>على</w:t>
      </w:r>
      <w:r w:rsidRPr="000758A9">
        <w:rPr>
          <w:rFonts w:asciiTheme="majorBidi" w:hAnsiTheme="majorBidi" w:cstheme="majorBidi"/>
          <w:sz w:val="32"/>
          <w:szCs w:val="32"/>
          <w:rtl/>
          <w:lang w:bidi="ar-BH"/>
        </w:rPr>
        <w:t xml:space="preserve"> خمسمائة ألف دينار وكانت المنازعة بين المؤسسات المالية المرخص لها بموجب أحكام قانون مصرف البحرين المركزي أو بينها وبين غيرها من المؤسسات والشركات الأخرى أو الافراد وكذلك المنازعات التجارية والدولية حسب تعريف المادة التاسعة من قانون إنشاء الغرفة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يتولى المجلس الأعلى للقضاء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شراف على حسن سير العمل بالغرفة فيما يتعلق بالمنازعات التي تختص وجوبا بنظرها ويندب القضاة الذين يضمهم بتشكيل هيئة تسوية النزاع التي يعتبر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في تلك المنازعات مث</w:t>
      </w:r>
      <w:r w:rsidRPr="000758A9">
        <w:rPr>
          <w:rFonts w:asciiTheme="majorBidi" w:hAnsiTheme="majorBidi" w:cstheme="majorBidi" w:hint="cs"/>
          <w:sz w:val="32"/>
          <w:szCs w:val="32"/>
          <w:rtl/>
          <w:lang w:bidi="ar-BH"/>
        </w:rPr>
        <w:t>ل</w:t>
      </w:r>
      <w:r w:rsidRPr="000758A9">
        <w:rPr>
          <w:rFonts w:asciiTheme="majorBidi" w:hAnsiTheme="majorBidi" w:cstheme="majorBidi"/>
          <w:sz w:val="32"/>
          <w:szCs w:val="32"/>
          <w:rtl/>
          <w:lang w:bidi="ar-BH"/>
        </w:rPr>
        <w:t xml:space="preserve"> حكم نهائي 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محاكم البحرين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ويجوز الطعن في أحكامها أمام محكمة التمييز ومن ثم فإنها تعد 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الجهاز القضائي في مملكة البحرين يسر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عليها ما يسر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على محاكم البحرين عدا ما نص عليه قانون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نشائها أو لائحة إجراءات تسوية المنازعات أمامها من أحكام خاصة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وبمقتضى تلك الولاية في الاختصاص</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المنصوص عليه في الفصل الأول من الباب الثاني من قانون الغرفة فإنه إذا تبين للمحكمة التي رفعت إليها الدعوى ابتداء أنها غير مختصة بنظر النزاع وأنه ينعقد إلى غرفة البحرين لتسوية المنازعات وجوبا فإنه يتعين عليها أن تحيل إليها الدعوى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عمالا لنص المادة 28 من قانون المرافعات باعتبارها محكمة قضائية ذات ولاية في الفصل في تلك المنازعات . </w:t>
      </w:r>
    </w:p>
    <w:p w:rsidR="00D858CF" w:rsidRPr="000758A9" w:rsidRDefault="00D858CF" w:rsidP="00D858C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858CF" w:rsidRPr="000758A9" w:rsidRDefault="00D858CF" w:rsidP="00D858CF">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D858CF" w:rsidRPr="000758A9" w:rsidRDefault="00D858CF" w:rsidP="00D858CF">
      <w:pPr>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D858CF" w:rsidRPr="000758A9" w:rsidRDefault="00D858CF" w:rsidP="00D858CF">
      <w:pPr>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حيث إن الطعن استوفى أوضاعه الشكلية.</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الوقائع – على ما يبين من الحكم المطعون فيه وسائر الأوراق – تتحصل في أن الشركة الطاعنة أقامت الدعوى رقم 920 لسنة 2015 أمام المحكمة الكبرى المدنية على المطعون ضدهما بطلب الحكم بإلزامهما متضامنين بأن يؤديا إليها مبلغ ثلاثة مل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ين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دولار أمريكي أو ما يعادله بالدينار البحريني والفوائد قائلة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نها شركة سعودية تعمل في مجال أعمال الاتصالات وشبكاتها وقد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برمت مع المطعون ضدها الثانية بواسطة المطعون ضده الأول عقدا بتاريخ 9/12/2011 تعهدت بموجبه بتقديم خدمات مقابل حصولها منها على المبلغ المطالب به إلا أنها نفذت التزاماتها وامتنعت عن رد ذلك المبلغ فأقامت الدعوى. حكمت المحكمة بعدم اختصاصها نوعيا بنظر الدعوى</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وبإحالتها </w:t>
      </w:r>
      <w:r w:rsidRPr="000758A9">
        <w:rPr>
          <w:rFonts w:asciiTheme="majorBidi" w:hAnsiTheme="majorBidi" w:cstheme="majorBidi" w:hint="cs"/>
          <w:sz w:val="32"/>
          <w:szCs w:val="32"/>
          <w:rtl/>
          <w:lang w:bidi="ar-BH"/>
        </w:rPr>
        <w:t xml:space="preserve">إلى </w:t>
      </w:r>
      <w:r w:rsidRPr="000758A9">
        <w:rPr>
          <w:rFonts w:asciiTheme="majorBidi" w:hAnsiTheme="majorBidi" w:cstheme="majorBidi"/>
          <w:sz w:val="32"/>
          <w:szCs w:val="32"/>
          <w:rtl/>
          <w:lang w:bidi="ar-BH"/>
        </w:rPr>
        <w:t xml:space="preserve">غرفة البحرين لتسوية المنازعات الاقتصادية والمالية والاستثمارية بحكم استأنفه المطعون ضدهما لدى محكمة الاستئناف العليا المدنية بالاستئناف رقم 2563 لسنة 2015 وفيه قضت بإلغاء الحكم المستأنف فيما قضى به من إحالة الدعوى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غرفة البحرين لتسوية المنازعات الاقتصادية والمالية والاستثمارية وتأييده فيما عدا ذلك. طعنت الطاعنة في هذا الحكم بطريق التمييز وقدم المكتب الفني مذكرة برأيه في الطعن.</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الطعن أقيم على سببين تنعى بهما الطاعنة على الحكم المطعون فيه مخالفة القانون والخطأ في تطبيقه والفساد في الاستدلال ومخالفة الثابت بالأوراق حين قضى بإلغاء ما تضمنه الحكم الابتدائي من إحالة الدعوى إلى غرفة البحرين لتسوية المنازعات استنادا منه إلى أن الإحالة إلى المحكمة المختصة لا يكون إلا بين محاكم القضاء العادي</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أن إجراءات رفع الدعوى أمام تلك الغرفة تختلف عن تلك التي ترفع أمام القضاء العادي مع أن الغرفة تخضع لإشراف ورقابة وزير العدل وأن تشكيل هيئة تسوية النزاع يغلب عليه العنصر القضائي ممن ينتدبهم المجلس الأعلى للقضاء وأن ما تصدره من أحكام يجوز الطعن عليها أمام محكمة التمييز</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أن الحكم الابتدائي الصادر بعدم الاختصاص والإحالة إلى غرفة البحرين لتسوية المنازعات لا يجوز استئنافه لأنه لم يكن منهيا للخصومة كلها مما يعيب الحكم ويستوجب نقضه.</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النعي في شقه الأخير غير سديد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لما كان مفهوم النص في المادة 214/1 من قانون المرافعات بعدم جواز الطعن بالاستئناف يقتصر على الأحكام التي تصدر أثناء سير الدعوى ولا تنتهي به الخصومة إلا بعد صدور الحكم المنهي للخصومة كلها أمام محكمة الدرجة الأولى وكان الحكم الصادر</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بعدم اختصاصها بنظر الدعوى قد أنهى الخصومة كلها أمامها ولم يستبق منها شيئا امامها ولن يعقبه فيها حكم آخر فيجوز استئنافه فإن ما تثيره الطاعنة في هذا الشأن يكون غير سديد.</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لما كانت غرفة البحرين لتسوية المنازعات الاقتصادية والمالية والاستثمارية – جهة قضائية مستقلة – أنشئت بموجب المرسوم بقانون رقم 30 لسنة 2009 تختص وجوبا بالفصل في المنازعات التي ينعقد الاختصاص – في الأصل – بنظرها إلى محاكم القضاء العادي متى زادت قيمة المطالبة عن خمسمائة ألف دينار وكانت المنازعة بين المؤسسات المالية المرخص لها بموجب أحكام قانون مصرف البحرين المركزي أو بينها وبين غيرها من المؤسسات والشركات الأخرى أو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فراد وكذلك المنازعات التجارية والدولية حسب تعريف المادة التاسعة من قانون إنشاء الغرفة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يتولى المجلس الأعلى للقضاء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شراف على حسن سير العمل بالغرفة فيما يتعلق بالمنازعات التي تختص وجوبا بنظرها ويندب القضاة الذين يضمهم بتشكيل هيئة تسوية النزاع التي يعتبر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نها في تلك المنازعات  </w:t>
      </w:r>
      <w:r w:rsidRPr="000758A9">
        <w:rPr>
          <w:rFonts w:asciiTheme="majorBidi" w:hAnsiTheme="majorBidi" w:cstheme="majorBidi" w:hint="cs"/>
          <w:sz w:val="32"/>
          <w:szCs w:val="32"/>
          <w:rtl/>
          <w:lang w:bidi="ar-BH"/>
        </w:rPr>
        <w:t>ك</w:t>
      </w:r>
      <w:r w:rsidRPr="000758A9">
        <w:rPr>
          <w:rFonts w:asciiTheme="majorBidi" w:hAnsiTheme="majorBidi" w:cstheme="majorBidi"/>
          <w:sz w:val="32"/>
          <w:szCs w:val="32"/>
          <w:rtl/>
          <w:lang w:bidi="ar-BH"/>
        </w:rPr>
        <w:t>حكم نهائي صادر من محاكم البحرين ويجوز الطعن في أحكامها أمام محكمة التمييز</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ثم فإنها تعد 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الجهاز القضائي في مملكة البحرين يسر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عليها ما يسر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على محاكم البحرين عدا ما نص عليه قانون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نشائها أو لائحة إجراءات تسوية المنازعات أمامها من أحكام خاصة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وبمقتضى تلك الولاية في الاختصاص المنصوص عليه في الفصل الأول من الباب الثاني من قانون الغرفة فإنه إذا تبين للمحكمة التي رفعت إليها الدعوى ابتداء أنها غير مختصة بنظر النزاع وأنه ينعقد إلى غرفة البحرين لتسوية المنازعات وجوبا فإنه يتعين عليها أن تحيل إليها الدعوى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عمالا لنص المادة 28 من قانون المرافعات باعتبارها محكمة قضائية ذات ولاية في الفصل في تلك المنازعات</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وإذ خالف الحكم المطعون فيه هذا النظر لما ذهب إليه من اختلاف إجراءات رفع الدعوى أمام الغرفة عنها أمام المحاكم العادية مع أن رفع الدعوى أمام الغرفة يتم بلائحة أيضا وتقدر قيمتها طبقا لأحكام قانون السلطة القضائية فإنه يكون معيبا بما يوجب نقضه.</w:t>
      </w:r>
    </w:p>
    <w:p w:rsidR="00D858CF" w:rsidRPr="000758A9" w:rsidRDefault="00D858CF" w:rsidP="00D858C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الموضوع فيما نقض بشأنه صالح للفصل فيه ولما تقدم يتعين القضاء برفض الاستئناف وتأييد الحكم المستأنف.</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CA"/>
    <w:rsid w:val="0003272B"/>
    <w:rsid w:val="004603CA"/>
    <w:rsid w:val="00A232C2"/>
    <w:rsid w:val="00D85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C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C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2020-04-21T11:47:00Z</dcterms:created>
  <dcterms:modified xsi:type="dcterms:W3CDTF">2020-04-21T11:47:00Z</dcterms:modified>
</cp:coreProperties>
</file>