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DB" w:rsidRPr="009907C7" w:rsidRDefault="002731DB" w:rsidP="002731DB">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جلسة 6 من مارس سنة 2017</w:t>
      </w:r>
    </w:p>
    <w:p w:rsidR="002731DB" w:rsidRPr="009907C7" w:rsidRDefault="002731DB" w:rsidP="002731DB">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علي يوسف منصور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يحي</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فتحي شافعي يمامة، عبدالله يعقوب عبدالرحمن ، محمد حسن البوعينين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عبدالمنعم إبراهيم الشهاوي .</w:t>
      </w:r>
    </w:p>
    <w:p w:rsidR="002731DB" w:rsidRPr="009907C7" w:rsidRDefault="002731DB" w:rsidP="002731DB">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2731DB" w:rsidRPr="009907C7" w:rsidRDefault="002731DB" w:rsidP="002731DB">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87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2731DB" w:rsidRPr="009907C7" w:rsidRDefault="002731DB" w:rsidP="002731DB">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441 لسنة 2015 </w:t>
      </w:r>
    </w:p>
    <w:p w:rsidR="002731DB" w:rsidRPr="009907C7" w:rsidRDefault="002731DB" w:rsidP="002731DB">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(1-4) إجراء تحفظى . </w:t>
      </w:r>
      <w:r w:rsidRPr="009907C7">
        <w:rPr>
          <w:rFonts w:asciiTheme="majorBidi" w:hAnsiTheme="majorBidi" w:cstheme="majorBidi" w:hint="cs"/>
          <w:b/>
          <w:bCs/>
          <w:sz w:val="32"/>
          <w:szCs w:val="32"/>
          <w:u w:val="single"/>
          <w:rtl/>
          <w:lang w:bidi="ar-BH"/>
        </w:rPr>
        <w:t>ا</w:t>
      </w:r>
      <w:r w:rsidRPr="009907C7">
        <w:rPr>
          <w:rFonts w:asciiTheme="majorBidi" w:hAnsiTheme="majorBidi" w:cstheme="majorBidi"/>
          <w:b/>
          <w:bCs/>
          <w:sz w:val="32"/>
          <w:szCs w:val="32"/>
          <w:u w:val="single"/>
          <w:rtl/>
          <w:lang w:bidi="ar-BH"/>
        </w:rPr>
        <w:t xml:space="preserve">ختصاص . حكم " عيوب التدليل : الخطأ فى تطبيق القانون " . دعوى . غرفة البحرين لتسوية المنازعات .       </w:t>
      </w:r>
    </w:p>
    <w:p w:rsidR="002731DB" w:rsidRPr="009907C7" w:rsidRDefault="002731DB" w:rsidP="002731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قرار القاض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المنتدب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الأمور الوقت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ة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يختص بنظرها فيما بين رفع النزاع إلى الغرفة وتشكيل هيئة تسوية النزاع أمر يصدره القاضى بصفته الولائية . عدم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عتباره حكما ولا تثبت له حجية الأمر المقض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مؤداه</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عدم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لتزام هيئة تسوية النزاع بما قطع به من عدم اختصاص الغرفة بنظر الدعوى . المادتي</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ن 31/ب ق إنشاء الغرفة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58 من لائحة الاجراءات.      </w:t>
      </w:r>
    </w:p>
    <w:p w:rsidR="002731DB" w:rsidRPr="009907C7" w:rsidRDefault="002731DB" w:rsidP="002731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للقاض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المنتدب إصدار أمر بالاجراء التحفظ</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المطلوب أو رفض</w:t>
      </w:r>
      <w:r w:rsidRPr="009907C7">
        <w:rPr>
          <w:rFonts w:asciiTheme="majorBidi" w:hAnsiTheme="majorBidi" w:cstheme="majorBidi" w:hint="cs"/>
          <w:sz w:val="32"/>
          <w:szCs w:val="32"/>
          <w:rtl/>
          <w:lang w:bidi="ar-BH"/>
        </w:rPr>
        <w:t>ه</w:t>
      </w:r>
      <w:r w:rsidRPr="009907C7">
        <w:rPr>
          <w:rFonts w:asciiTheme="majorBidi" w:hAnsiTheme="majorBidi" w:cstheme="majorBidi"/>
          <w:sz w:val="32"/>
          <w:szCs w:val="32"/>
          <w:rtl/>
          <w:lang w:bidi="ar-BH"/>
        </w:rPr>
        <w:t xml:space="preserve"> بناء على تقديره لتوافر الشروط المقررة لإصداره . عدم جواز التصد</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لمسألة اختصاص الغرفة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تختص هيئة تسوية النزاع بالبت فيها . م 58 من لائحة الاجراءات . للقاض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رفض الطلب . شرطه أن يتبين له من ظاهر الاوراق أن الغرفة غير مختصة </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rtl/>
          <w:lang w:bidi="ar-BH"/>
        </w:rPr>
        <w:t xml:space="preserve">نظر النزاع . م 57 من لائحة الاجراءات .       </w:t>
      </w:r>
    </w:p>
    <w:p w:rsidR="002731DB" w:rsidRPr="009907C7" w:rsidRDefault="002731DB" w:rsidP="002731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تقدير قيمة الدعاوى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ترفع إلى الغرفة بقيمة المطلوب فيها . الدعوى بطلب فسخ عقد تقدر بقيمة المعقود عليه . العبرة بالقيمة الحقيق</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ة للدعوى . عدم الاعتداد بالوصف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يلحقه المدع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بها للتحايل على قواعد الاختصاص المتعلقة بالنظام العام . مرسوم بق رقم 3 لسنة 1972 بشأن الرسوم القضائية .  </w:t>
      </w:r>
    </w:p>
    <w:p w:rsidR="002731DB" w:rsidRPr="009907C7" w:rsidRDefault="002731DB" w:rsidP="002731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(4) ثبوت أن قيمة الدعوى المقامة من المطعون ضدها برد قيمة الأسهم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تقل عن النصاب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لمقرر لاختصاص غرفة تسوية المنازعات . مخالفة الحكم المطعون </w:t>
      </w:r>
      <w:r w:rsidRPr="009907C7">
        <w:rPr>
          <w:rFonts w:asciiTheme="majorBidi" w:hAnsiTheme="majorBidi" w:cstheme="majorBidi"/>
          <w:sz w:val="32"/>
          <w:szCs w:val="32"/>
          <w:rtl/>
          <w:lang w:bidi="ar-BH"/>
        </w:rPr>
        <w:lastRenderedPageBreak/>
        <w:t>فيه هذا النظر ورفض الدفع بعدم اختصاص الغرفة بنظرها و</w:t>
      </w:r>
      <w:r w:rsidRPr="009907C7">
        <w:rPr>
          <w:rFonts w:asciiTheme="majorBidi" w:hAnsiTheme="majorBidi" w:cstheme="majorBidi" w:hint="cs"/>
          <w:sz w:val="32"/>
          <w:szCs w:val="32"/>
          <w:rtl/>
          <w:lang w:bidi="ar-BH"/>
        </w:rPr>
        <w:t>القضاء</w:t>
      </w:r>
      <w:r w:rsidRPr="009907C7">
        <w:rPr>
          <w:rFonts w:asciiTheme="majorBidi" w:hAnsiTheme="majorBidi" w:cstheme="majorBidi"/>
          <w:sz w:val="32"/>
          <w:szCs w:val="32"/>
          <w:rtl/>
          <w:lang w:bidi="ar-BH"/>
        </w:rPr>
        <w:t xml:space="preserve">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موضوعها . خطأ .  </w:t>
      </w:r>
    </w:p>
    <w:p w:rsidR="002731DB" w:rsidRPr="009907C7" w:rsidRDefault="002731DB" w:rsidP="002731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w:t>
      </w:r>
    </w:p>
    <w:p w:rsidR="002731DB" w:rsidRPr="009907C7" w:rsidRDefault="002731DB" w:rsidP="002731DB">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731DB" w:rsidRPr="009907C7" w:rsidRDefault="002731DB" w:rsidP="002731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من المقرر أن قرار القاضي المنتدب في الأمور الوقتية التي يختص بنظرها فيما بين رفع النزاع إلى الغرفة وتشكيل هيئة تسوية النزاع وفقا لنص المادة 31/ب من قانون انشاء الغرفة والمادة 58 من لائحة الإجراءات، لا يعدو أن يكون أمرا يصدره القاضي بصفته الولائية ولا يخرجه التظلم فيه إلى القاضي </w:t>
      </w:r>
      <w:r w:rsidRPr="009907C7">
        <w:rPr>
          <w:rFonts w:asciiTheme="majorBidi" w:hAnsiTheme="majorBidi" w:cstheme="majorBidi" w:hint="cs"/>
          <w:sz w:val="32"/>
          <w:szCs w:val="32"/>
          <w:rtl/>
          <w:lang w:bidi="ar-BH"/>
        </w:rPr>
        <w:t xml:space="preserve">نفسه </w:t>
      </w:r>
      <w:r w:rsidRPr="009907C7">
        <w:rPr>
          <w:rFonts w:asciiTheme="majorBidi" w:hAnsiTheme="majorBidi" w:cstheme="majorBidi"/>
          <w:sz w:val="32"/>
          <w:szCs w:val="32"/>
          <w:rtl/>
          <w:lang w:bidi="ar-BH"/>
        </w:rPr>
        <w:t>الآمر عن هذه الصفة فيظل للقرار الصادر في التظلم الذي نص القانون أن يكون نهائيا غير قابل للطعن فيه بأي طريق صفة الأمر الولائي فلا يعتبر حكما وإن اتخذ شكل الأحكام ولا تثبت له حجية الأمر المقضي فلا يلزم هيئة تسوية النزاع بما قطع به من عدم اختصاص الغرفة بنظر الدعوى.</w:t>
      </w:r>
    </w:p>
    <w:p w:rsidR="002731DB" w:rsidRPr="009907C7" w:rsidRDefault="002731DB" w:rsidP="002731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أن البادي من نص المادة 58 من لائحة الإجراءات المخصصة للإجراءات التحفظية والوقتية بعد رفع الدعوى أنه يجوز للقاضي المنتدب إصدار أمره بالإجراء التحفظي المطلوب أو رفضه بناء على تقديره لتوافر الشروط المقررة لإصداره ولا يجوز له التصدي لمسألة اختصاص الغرفة التي تختص هيئة تسوية النزاع وحدها بالبت فيها خلافا لنص المادة 57 الخاصة بالإجراءات التي تطلب قبل رفع الدعوى</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فقد أوجب على القاضي المنتدب رفض الطلب إذا تبين له من ظاهر الأوراق أن الغرفة غير مختصة بنظر النزاع.</w:t>
      </w:r>
    </w:p>
    <w:p w:rsidR="002731DB" w:rsidRPr="009907C7" w:rsidRDefault="002731DB" w:rsidP="002731DB">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المقرر وفقا لأحكام المرسوم بقانون رقم 3 لسنة 1972 بشأن الرسوم القضائية التي تقدر قيمة الدعاوى التي ترفع إلى الغرفة طبقا لها أن العبرة في تقدير قيمة الدعوى بقيمة المطلوب فيها وإذا كانت الدعوى بطلب فسخ عقد تقدر بقيمة المعقود عليه، فإن العبرة بالقيمة الحقيقية للدعوى ولا يعتد بالوصف الذي </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لحقه المدع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بها للتحايل على قواعد الاختصاص المتعلقة بالنظام العام.</w:t>
      </w:r>
    </w:p>
    <w:p w:rsidR="002731DB" w:rsidRDefault="002731DB" w:rsidP="002731DB">
      <w:pPr>
        <w:tabs>
          <w:tab w:val="left" w:pos="3551"/>
          <w:tab w:val="center" w:pos="4153"/>
        </w:tabs>
        <w:bidi/>
        <w:spacing w:after="0" w:line="360" w:lineRule="auto"/>
        <w:rPr>
          <w:rFonts w:asciiTheme="majorBidi" w:hAnsiTheme="majorBidi" w:cstheme="majorBidi" w:hint="cs"/>
          <w:b/>
          <w:bCs/>
          <w:sz w:val="32"/>
          <w:szCs w:val="32"/>
          <w:rtl/>
          <w:lang w:bidi="ar-BH"/>
        </w:rPr>
      </w:pPr>
      <w:r>
        <w:rPr>
          <w:rFonts w:asciiTheme="majorBidi" w:hAnsiTheme="majorBidi" w:cstheme="majorBidi"/>
          <w:b/>
          <w:bCs/>
          <w:sz w:val="32"/>
          <w:szCs w:val="32"/>
          <w:rtl/>
          <w:lang w:bidi="ar-BH"/>
        </w:rPr>
        <w:tab/>
      </w:r>
    </w:p>
    <w:p w:rsidR="002731DB" w:rsidRPr="009907C7" w:rsidRDefault="002731DB" w:rsidP="002731DB">
      <w:pPr>
        <w:tabs>
          <w:tab w:val="left" w:pos="3551"/>
          <w:tab w:val="center" w:pos="4153"/>
        </w:tabs>
        <w:bidi/>
        <w:spacing w:after="0" w:line="360" w:lineRule="auto"/>
        <w:rPr>
          <w:rFonts w:asciiTheme="majorBidi" w:hAnsiTheme="majorBidi" w:cstheme="majorBidi"/>
          <w:b/>
          <w:bCs/>
          <w:sz w:val="32"/>
          <w:szCs w:val="32"/>
          <w:rtl/>
          <w:lang w:bidi="ar-BH"/>
        </w:rPr>
      </w:pPr>
      <w:bookmarkStart w:id="0" w:name="_GoBack"/>
      <w:bookmarkEnd w:id="0"/>
      <w:r>
        <w:rPr>
          <w:rFonts w:asciiTheme="majorBidi" w:hAnsiTheme="majorBidi" w:cstheme="majorBidi"/>
          <w:b/>
          <w:bCs/>
          <w:sz w:val="32"/>
          <w:szCs w:val="32"/>
          <w:rtl/>
          <w:lang w:bidi="ar-BH"/>
        </w:rPr>
        <w:tab/>
      </w:r>
      <w:r w:rsidRPr="009907C7">
        <w:rPr>
          <w:rFonts w:asciiTheme="majorBidi" w:hAnsiTheme="majorBidi" w:cstheme="majorBidi"/>
          <w:b/>
          <w:bCs/>
          <w:sz w:val="32"/>
          <w:szCs w:val="32"/>
          <w:rtl/>
          <w:lang w:bidi="ar-BH"/>
        </w:rPr>
        <w:t>المحكمة</w:t>
      </w:r>
    </w:p>
    <w:p w:rsidR="002731DB" w:rsidRPr="009907C7" w:rsidRDefault="002731DB" w:rsidP="002731DB">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بعد الاطلاع على الأوراق، وسماع التقرير الذي تلاه القاضي المقرر، والمداولة.</w:t>
      </w:r>
    </w:p>
    <w:p w:rsidR="002731DB" w:rsidRPr="009907C7" w:rsidRDefault="002731DB" w:rsidP="002731DB">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حيث إن الطعن استوفى أوضاعه الشكلية.</w:t>
      </w:r>
    </w:p>
    <w:p w:rsidR="002731DB" w:rsidRPr="009907C7" w:rsidRDefault="002731DB" w:rsidP="002731DB">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الوقائع – على ما يبين من الأوراق – تتحصل في أن المطعون ضدها رفعت إلى غرفة البحرين لتسوية المنازعات الدعوى رقم 4 لسنة 2015 على الطاعنتين باللائحة المؤرخة 3/2/2015 قائلة إنها شركة سعودية و</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 المدعى عليها الثانية التي تعمل في مجال الاستثمار المنظمة الرئيسة والمديرة وكفيلة الاكتتاب في الشركة المدعى عليها الأولى عرضت عليها الاكتتاب فيها عن طريق مذكرة اكتتاب خاص مؤرخة ابريل سنة 2010 فاشترت مليونا ومائتين وخمسين ألف</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سهم 1250000 قيمة السهم دولار أمريكي</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بناء على تعهداتها في تلك المذكرة باستخدام خبرتها في تنفيذ أغراض الاستثمار التي تضمنت استحواذ المدعى عليها الأولى على كامل رأسمال الشركة والتوسع في خدماتها المقدمة إلى الشركة السعودية لتشمل شركات التنقيب عن النفط المتعاقدة معها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وأن تقوم المدعى عليها الأولى بتزويد المساهمين بتقارير سنوية عن تنفيذ أغراض الاستثمار خلال ستة أشهر من انتهاء السنة المالية للشركة إلا أنها لم تتلق أي تقرير منها في هذا الشأن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ونتيجة لفشل المدعى عليها الأولى تعهدت المدعى عليها الثانية ببيع أسهمها المكتتب بها من أجل استرداد قيمة استثمارها. وفي ديسمبر سنة 2012 ابلغتها بالعثور على مشتر لستمائة ألف سهم وقامت بإتمام بيعها وتحويلها للمشتري في 3/12/2013 وتسلمت ثمنها مبلغ ستمائة ألف دولار وأمهلت المدعى عليها الثانية لتنفيذ التزامها ببيع الأسهم الباقية ولكنها لم تنفذ التزامها. ولما كان الباعث الذي دفعها إلى التعامل مع المدعى عليهما يتعلق بأغراض الاستثمار والتزام المدعى عليها الأولى في مذكرة الاكتتاب بتنفيذها بكفالة المدعى عليها الثانية ولفشلهما في تنفيذها، كما فشلت المدعى عليها الثانية في تنفيذ تعهدها ببيع الأسهم الباقية فإنه يحق لها فسخ العقد والتعويض، وطلبت قبل الفصل في موضوع النزاع إصدار أمر وقتي بالحجز على العقارات المملوكة للمدعى عليهما وعلى أي حسابات مصرفية لهما في حدود مبلغ المطالبة والحجز على أي سجلات تجارية أو أي حصص في شركات وأي أسهم مملوكة لهما في الشركات المدرجة في بورصة البحرين للأوراق المالية وعلى المركبات المملوكة لهما, وموضوعيا طلبت الحكم بفسخ العقد المتمثل في مذكرة الاكتتاب الخاص البالغة قيمتها 1250000 دولار أمريكي يعادل 470000 دينار بحريني وإلزام المدعى عليهما بالتضامن والتضامم برد مبلغ 650000 دولار يعادل 244400 دينار المتبقي من مبلغ الاكتتاب وبأن </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دفعا لها مبلغ 520,000 دولار يعادل مبلغ 195520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تعويضا عن الكسب الفائت بمقدار 20% من استثمارها بمتوسط ربحها السنوي</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ومبلغ 32500 دينار مقدار ما لحقها من خسارة بسبب رفع الدعوى والفوائد من تاريخ المطالبة بواقع 10% حتى تمام السداد. وبتاريخ 5/2/2015 أمر القاضي المنتدب برفض الطلبات التحفظية فتظلمت المدعية إليه وبتاريخ 9/3/2015 قضى برفض التظلم لعدم اختصاصه وظيفيا بنظر هذه الطلبات تبعا لعدم اختصاص الغرفة قيميا بنظر الدعوى, وبتاريخ 30/4/2015 قدمت المدعية لائحة طلب عارض بتعديل طلباتها فيما يتعلق بالتعويض عن الكسب الفائت بزيادته إلى 611000 دولار يعادل 230000 دينار بدلا من المبلغ المحدد بلائحة الدعوى وبإحالة الدعوى إلى هيئة تسوية النزاع. حكمت بتاريخ 10/6/2015 بإلزام المدعى عليهما بالتضامن بأن تدفعا للمدعية مبلغ 675 ألف دولار أمريكي أو ما يعادله بالدينار البحريني حسب سعر الصرف وقت السداد والفائدة بواقع 4% سنويا من تاريخ المطالبة حتى السداد التام ورفضت ما عدا ذلك من الطلبات بناء على ما خلصت إليه وفقا لمدونات حكمها أن الشركتين المدعى عليهما أخلتا بالتزاماتهما المترتبة على مذكرة الاكتتاب فيتعين إجابة الشركة المدعية إلى طلبها فسخ هذه المذكرة المؤرخة ابريل سنة 2010 ويشمل المبلغ المقضي به 650 ألف دولار المتبقي من مبلغ الاكتتاب والتعويض عن تفويت فرصة استثمار هذا المبلغ الذي قدرته الهيئة بمبلغ 25 ألف دولار، </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طعنت الشركتان المدعى عليهما في هذا الحكم بطريق التمييز وأودع المكتب الفني مذكرة برأيه في الطعن.</w:t>
      </w:r>
    </w:p>
    <w:p w:rsidR="002731DB" w:rsidRPr="009907C7" w:rsidRDefault="002731DB" w:rsidP="002731DB">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إنه مما تنعاه الطاعن</w:t>
      </w:r>
      <w:r w:rsidRPr="009907C7">
        <w:rPr>
          <w:rFonts w:asciiTheme="majorBidi" w:hAnsiTheme="majorBidi" w:cstheme="majorBidi" w:hint="cs"/>
          <w:sz w:val="32"/>
          <w:szCs w:val="32"/>
          <w:rtl/>
          <w:lang w:bidi="ar-BH"/>
        </w:rPr>
        <w:t>تان</w:t>
      </w:r>
      <w:r w:rsidRPr="009907C7">
        <w:rPr>
          <w:rFonts w:asciiTheme="majorBidi" w:hAnsiTheme="majorBidi" w:cstheme="majorBidi"/>
          <w:sz w:val="32"/>
          <w:szCs w:val="32"/>
          <w:rtl/>
          <w:lang w:bidi="ar-BH"/>
        </w:rPr>
        <w:t xml:space="preserve"> على الحكم المطعون فيه الخطأ في تطبيق القانون، إذ قضى برفض الدفع بعدم اختصاص غرفة تسوية المنازعات بنظر الدعوى بناء على ما أورده أن قيمة العقد المطلوب فسخه المتمثل في مذكرة الاكتتاب 470 ألف دينار يضاف إليها مبلغ التعويض المطلوب 195 ألف دينار مجموعه</w:t>
      </w:r>
      <w:r w:rsidRPr="009907C7">
        <w:rPr>
          <w:rFonts w:asciiTheme="majorBidi" w:hAnsiTheme="majorBidi" w:cstheme="majorBidi" w:hint="cs"/>
          <w:sz w:val="32"/>
          <w:szCs w:val="32"/>
          <w:rtl/>
          <w:lang w:bidi="ar-BH"/>
        </w:rPr>
        <w:t>ما</w:t>
      </w:r>
      <w:r w:rsidRPr="009907C7">
        <w:rPr>
          <w:rFonts w:asciiTheme="majorBidi" w:hAnsiTheme="majorBidi" w:cstheme="majorBidi"/>
          <w:sz w:val="32"/>
          <w:szCs w:val="32"/>
          <w:rtl/>
          <w:lang w:bidi="ar-BH"/>
        </w:rPr>
        <w:t xml:space="preserve"> 665 ألف دينار يتجاوز النصاب المقرر لاختصاص الغرفة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في حين أن مسألة اختصاص الغرفة سبق حسمها بالحكم الصادر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القاضي المنتدب بعدم اختصاصه بالإجراءات التحفظية المطلوبة تبعا لعدم اختصاص الغرفة قيميا بنظر الدعوى فهو حكم نهائي بات لعدم الطعن فيه صادر من الغرفة بعدم اختصاصها حاز قوة الأمر المقضي له حجية تلتزم بها الغرفة فلا يجوز لها العدول عنه، هذا إلى خطأ الحكم في تقدير قيمة الدعوى بقيمة مذكرة الاكتتاب المطلوب فسخها بالإضافة إلى مبلغ التعويض الذي قدره مع أن مذكرة الاكتتاب لم يعد لها وجود بعد إبرام عقد شراء الأسهم بتاريخ 29/6/2010 الذي اقتصر النزاع بشأنه على طلب رد قيمة الأسهم الباقية البالغ مقدارها 244</w:t>
      </w:r>
      <w:r w:rsidRPr="009907C7">
        <w:rPr>
          <w:rFonts w:asciiTheme="majorBidi" w:hAnsiTheme="majorBidi" w:cstheme="majorBidi" w:hint="cs"/>
          <w:sz w:val="32"/>
          <w:szCs w:val="32"/>
          <w:rtl/>
          <w:lang w:bidi="ar-BH"/>
        </w:rPr>
        <w:t>440</w:t>
      </w:r>
      <w:r w:rsidRPr="009907C7">
        <w:rPr>
          <w:rFonts w:asciiTheme="majorBidi" w:hAnsiTheme="majorBidi" w:cstheme="majorBidi"/>
          <w:sz w:val="32"/>
          <w:szCs w:val="32"/>
          <w:rtl/>
          <w:lang w:bidi="ar-BH"/>
        </w:rPr>
        <w:t xml:space="preserve">  دينار فيكون فسخ العقد متعلقا بهذه الأسهم وتقدر الدعوى بقيمتها ويضاف إليها مبلغ التعويض 195 ألف دينار فلا تبلغ قيمتها النصاب المقرر لاختصاص الغرفة بنظرها ولا يغير من ذلك احتساب التعويض بمبلغه المعدل بالطلب العارض 230 ألف دينار الذي التفت عنه الحكم فإن قيمة الدعوى تبقى أقل من القيمة المقررة وهو ما يعيب الحكم ويستوجب نقضه والحكم بعدم اختصاص الغرفة بنظر الدعوى.</w:t>
      </w:r>
    </w:p>
    <w:p w:rsidR="002731DB" w:rsidRPr="009907C7" w:rsidRDefault="002731DB" w:rsidP="002731DB">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إنه عن الوجه الأول من النعي على الحكم بهذا السبب فإنه غير سديد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 قرار القاضي المنتدب في الأمور الوقتية التي يختص بنظرها فيما بين رفع النزاع إلى الغرفة وتشكيل هيئة تسوية النزاع وفقا لنص المادة 31/ب من قانون انشاء الغرفة والمادة 58 من لائحة الإجراءات، لا يعدو أن يكون أمرا يصدره القاضي بصفته الولائية ولا يخرجه التظلم فيه إلى القاضي </w:t>
      </w:r>
      <w:r w:rsidRPr="009907C7">
        <w:rPr>
          <w:rFonts w:asciiTheme="majorBidi" w:hAnsiTheme="majorBidi" w:cstheme="majorBidi" w:hint="cs"/>
          <w:sz w:val="32"/>
          <w:szCs w:val="32"/>
          <w:rtl/>
          <w:lang w:bidi="ar-BH"/>
        </w:rPr>
        <w:t xml:space="preserve">نفسه </w:t>
      </w:r>
      <w:r w:rsidRPr="009907C7">
        <w:rPr>
          <w:rFonts w:asciiTheme="majorBidi" w:hAnsiTheme="majorBidi" w:cstheme="majorBidi"/>
          <w:sz w:val="32"/>
          <w:szCs w:val="32"/>
          <w:rtl/>
          <w:lang w:bidi="ar-BH"/>
        </w:rPr>
        <w:t>الآمر عن هذه الصفة فيظل للقرار الصادر في التظلم الذي نص القانون أن يكون نهائيا غير قابل للطعن فيه بأي طريق صفة الأمر الولائي فلا يعتبر حكما وإن اتخذ شكل الأحكام ولا تثبت له حجية الأمر المقضي فلا يلزم هيئة تسوية النزاع بما قطع به من عدم اختصاص الغرفة بنظر الدعوى</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وكان البادي من نص المادة 58 من لائحة الإجراءات المخصصة للإجراءات التحفظية والوقتية بعد رفع الدعوى أنه يجوز للقاضي المنتدب إصدار أمره بالإجراء التحفظي المطلوب أو رفضه بناء على تقديره لتوافر الشروط المقررة لإصداره ولا يجوز له التصدي لمسألة اختصاص الغرفة التي تختص هيئة تسوية النزاع وحدها بالبت فيها خلافا لنص المادة 57 الخاصة بالإجراءات التي تطلب قبل رفع الدعوى</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فقد أوجب على القاضي المنتدب رفض الطلب إذا تبين له من ظاهر الأوراق أن الغرفة غير مختصة بنظر النزاع.</w:t>
      </w:r>
    </w:p>
    <w:p w:rsidR="002731DB" w:rsidRPr="009907C7" w:rsidRDefault="002731DB" w:rsidP="002731DB">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إنه بالنسبة للوجه الثاني للنعي على الحكم بهذا السبب المتعلق بتقدير قيمة الدعوى، فإنه لئن كان من المقرر وفقا لأحكام المرسوم بقانون رقم 3 لسنة 1972 بشأن الرسوم القضائية التي تقدر قيمة الدعاوى التي ترفع إلى الغرفة طبقا لها أن العبرة في تقدير قيمة الدعوى بقيمة المطلوب فيها وإذا كانت الدعوى بطلب فسخ عقد تقدر بقيمة المعقود عليه، فإن العبرة بالقيمة الحقيقية للدعوى ولا يعتد بالوصف الذي </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لحقه المدع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بها للتحايل على قواعد الاختصاص المتعلقة بالنظام العام. وكانت مذكرة الاكتتاب التي أقامت المطعون ضدها الدعوى بطلب فسخها باعتبارها عقدا لا تعدو أن تكون إيجابا من الطاعنة الأولى صادرا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الطاعنة الثانية بالنيابة عنها باعتبارها المروج للاكتتاب في رأسمالها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وإذ لاقى هذا الإيجاب قبولا من المطعون ضدها فتم التعاقد على الاكتتاب بعقد شراء الأسهم المبرم بتاريخ 29/6/2010 الذي تملكت المطعون ضدها بموجبه الأسهم المخصصة لها، وإذ تعهدت الطاعنة الثانية بأن تبحث عن مشتر لها وتم بيع بعضها لآخر وانتقلت إليه ملكية الأسهم المبيعة له بعد أن أوفى بثمنها الذي حصلت عليه المطعون ضدها ولم توف الطاعنة الثانية بتعهدها بالبحث عن مشتر للأسهم الباقية أقامت المطعون ضدها الدعوى ابتغاء إلزامها مع الطاعنة الأولى برد قيمة هذه الأسهم فإن النزاع فيما بينهم ينحصر في هذا النطاق، فتقدر الدعوى بقيمتها مع التعويض الذي طالبت به، وإن صورته المطعون ضدها في صورة فسخ لعقد الاكتتاب فإنه لا يكون إلا فسخا جزئيا بالنسبة للأسهم المتبقية، فتقدر الدعوى بقيمتها التي تقل عن النصاب المقرر لاختصاص غرفة تسوية المنازعات</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وإذ ذهب الحكم المطعون فيه إلى غير ذلك ورفض الدفع بعدم اختصاص الغرفة بنظرها وقضى في موضوعها فإنه يكون قد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خطأ في تطبيق القانون مما يعيبه ويوجب نقضه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والحكم بعدم اختصاص الغرفة بنظر الدعوى وإحالتها إلى المحكمة المختصة.</w:t>
      </w:r>
    </w:p>
    <w:p w:rsidR="008064E6" w:rsidRDefault="002731DB" w:rsidP="002731DB">
      <w:pPr>
        <w:rPr>
          <w:lang w:bidi="ar-BH"/>
        </w:rPr>
      </w:pPr>
      <w:r w:rsidRPr="009907C7">
        <w:rPr>
          <w:rFonts w:asciiTheme="majorBidi" w:hAnsiTheme="majorBidi" w:cstheme="majorBidi"/>
          <w:sz w:val="32"/>
          <w:szCs w:val="32"/>
          <w:rtl/>
          <w:lang w:bidi="ar-BH"/>
        </w:rPr>
        <w:tab/>
        <w:t>وحيث إنه يتعين إلزام المطعون ضدها مصاريف الطعن.</w:t>
      </w:r>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7FF"/>
    <w:multiLevelType w:val="hybridMultilevel"/>
    <w:tmpl w:val="E4A09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5D"/>
    <w:rsid w:val="0003272B"/>
    <w:rsid w:val="002731DB"/>
    <w:rsid w:val="008064E6"/>
    <w:rsid w:val="00CC5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2020-04-21T13:09:00Z</dcterms:created>
  <dcterms:modified xsi:type="dcterms:W3CDTF">2020-04-21T13:09:00Z</dcterms:modified>
</cp:coreProperties>
</file>