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39" w:rsidRPr="009907C7" w:rsidRDefault="003D7139" w:rsidP="003D7139">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جلسة 25 من ابريل سنة 2017</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برئاسة </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المستشار أحمد حسن عبدالرازق وعضوية المستشارين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محمد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بو القاسم خليل سيد ،</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محمد محمد محمد الصياد ،أحمد علي يحي</w:t>
      </w:r>
      <w:r w:rsidRPr="009907C7">
        <w:rPr>
          <w:rFonts w:asciiTheme="majorBidi" w:hAnsiTheme="majorBidi" w:cstheme="majorBidi" w:hint="cs"/>
          <w:sz w:val="32"/>
          <w:szCs w:val="32"/>
          <w:rtl/>
          <w:lang w:bidi="ar-BH"/>
        </w:rPr>
        <w:t>ى</w:t>
      </w:r>
    </w:p>
    <w:p w:rsidR="003D7139" w:rsidRPr="009907C7" w:rsidRDefault="003D7139" w:rsidP="003D7139">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D7139" w:rsidRPr="009907C7" w:rsidRDefault="003D7139" w:rsidP="003D7139">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161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3D7139" w:rsidRPr="009907C7" w:rsidRDefault="003D7139" w:rsidP="003D7139">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405 لسنة 2015 </w:t>
      </w:r>
    </w:p>
    <w:p w:rsidR="003D7139" w:rsidRPr="009907C7" w:rsidRDefault="003D7139" w:rsidP="003D7139">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(1-7) اثبات . تمييز . حكم . خبرة . دعوى . غرفة البحرين لتسوية المنازعات . قوة الأمر المقضى.</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ترك الخصومة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الطعن بعد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نقضاء ميعاد الطعن . تضمنه نزولا من الطاعن عن حقه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الطعن . تحقق آثاره بمجرد حصوله بغير حاجة إلى قبول الخصم الآخر .</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تقديم وكيل الطاعن مذكرة قرر فيها تنازله عن الطعن </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ترك الخصومة فيه بالنسبة للمطعون ضدهما الأولى والثان</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 وجوب الحكم بإثبات ترك الخصومة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الطعن بالنسبة لهما.</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(3) حيازة القضاء النهائ</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قوة الأمر المقض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فيما فصل فيه بين الخصوم بصفة صريحة أو ضمنية . مؤداه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متناع عودة الخصوم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صدر فيها إلى المناقشة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المسألة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فصل فيها ولو بأدلة قانونية أو واقعية لم يسبق إثارتها أو اثيرت ولم يبحثها الحكم الصادر فيها.</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(4) قضاء الحكم المطعون فيه برفض الدعوى تأسيسا على ما خلص إليه من سبق إقامة المطعون ضدها الأولى دعوى على البنك الطاعن والمطعون ضده الثالث أمام غرفة البحرين لتسوية المنازعات وقضى فيها بصحة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تفاقية ضمان تغطية الاصدار وخلوها من أ</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عيب وأن الطاعن أخفق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تنفيذ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لتزامه المترتب على هذه الاتفاقية وأن مسألت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صحة الاتفاقية من عدمه والطرف المخل هما مسألت</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 أساسيت</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ن </w:t>
      </w:r>
      <w:r w:rsidRPr="009907C7">
        <w:rPr>
          <w:rFonts w:asciiTheme="majorBidi" w:hAnsiTheme="majorBidi" w:cstheme="majorBidi"/>
          <w:sz w:val="32"/>
          <w:szCs w:val="32"/>
          <w:rtl/>
          <w:lang w:bidi="ar-BH"/>
        </w:rPr>
        <w:lastRenderedPageBreak/>
        <w:t>مشتركت</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 بين الدعوى السابقة المحتج بها والدعوى الماثلة . صحيح. النع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عليه على غير أساس.</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(5) للهيئة العدول عما حكمت به من إجراءات الاثبات . شرطه أن تبين أسباب العدول بالمحضر . الفقرة الأخيرة من م 93</w:t>
      </w:r>
      <w:r w:rsidRPr="009907C7">
        <w:rPr>
          <w:rFonts w:asciiTheme="majorBidi" w:hAnsiTheme="majorBidi" w:cstheme="majorBidi" w:hint="cs"/>
          <w:sz w:val="32"/>
          <w:szCs w:val="32"/>
          <w:rtl/>
          <w:lang w:bidi="ar-BH"/>
        </w:rPr>
        <w:t xml:space="preserve"> ــ</w:t>
      </w:r>
      <w:r w:rsidRPr="009907C7">
        <w:rPr>
          <w:rFonts w:asciiTheme="majorBidi" w:hAnsiTheme="majorBidi" w:cstheme="majorBidi"/>
          <w:sz w:val="32"/>
          <w:szCs w:val="32"/>
          <w:rtl/>
          <w:lang w:bidi="ar-BH"/>
        </w:rPr>
        <w:t xml:space="preserve"> لائحة اجراءات تسوية المنازعات الصادر بقرار وزير العدل رقم 65 لسنة 2009 . مخالفة هذا الاجراء . عدم ترتيب </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جزاء . عدول الهيئة عن الحكم التمهيدي الصادر بندب خبير لعدم حاجتها للرأ</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الفن</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بعد أن وجدت بأوراق الدعوى ما يكف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لتكوين عقيدتها وإثبات هذا العدول بمحضر جلسة النطق بالحكم</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صحيح . النع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عليه على غير أساس.</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(6) إصدار الهيئة الحكم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تنته</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 الخصومة أمامها . وجوب عليها الحكم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مصاريف الدعوى من تلقاء نفسها . م 84/أ من لائحة اجراءات تسوية المنازعات الصادر بقرار وزير العدل رقم 65 لسنة 2009.</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(7) الحكم بمصاريف الدعوى ومن بينها أتعاب الخبراء . كفاية أن يكون المحكوم عليه قد  خسرها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حاجة </w:t>
      </w:r>
      <w:r w:rsidRPr="009907C7">
        <w:rPr>
          <w:rFonts w:asciiTheme="majorBidi" w:hAnsiTheme="majorBidi" w:cstheme="majorBidi" w:hint="cs"/>
          <w:sz w:val="32"/>
          <w:szCs w:val="32"/>
          <w:rtl/>
          <w:lang w:bidi="ar-BH"/>
        </w:rPr>
        <w:t>إلى</w:t>
      </w:r>
      <w:r w:rsidRPr="009907C7">
        <w:rPr>
          <w:rFonts w:asciiTheme="majorBidi" w:hAnsiTheme="majorBidi" w:cstheme="majorBidi"/>
          <w:sz w:val="32"/>
          <w:szCs w:val="32"/>
          <w:rtl/>
          <w:lang w:bidi="ar-BH"/>
        </w:rPr>
        <w:t xml:space="preserve">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يراد أ</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سبب آخر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الحكم . قضاء الحكم المطعون فيه بإلزام الطاعن بأتعاب الخبير ب</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عتباره خاسر الدعوى صحيح . النع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عليه على غير أساس.</w:t>
      </w:r>
    </w:p>
    <w:p w:rsidR="003D7139" w:rsidRPr="009907C7" w:rsidRDefault="003D7139" w:rsidP="003D7139">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3D7139" w:rsidRPr="009907C7" w:rsidRDefault="003D7139" w:rsidP="003D7139">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 في قضاء هذه المحكمة – أن النزول عن الطعن أو ترك الخصومة فيه متى حصل بعد انقضاء ميعاد الطعن يتضمن بالضرورة نزولا من الطاعن عن حقه في الطعن وتتحقق آثاره بمجرد حصوله بغير حاجة إلى قبول الخصم الآخر ولا يملك المتنازل أن يعود فيما أسقط حقه فيه.</w:t>
      </w:r>
    </w:p>
    <w:p w:rsidR="003D7139" w:rsidRPr="009907C7" w:rsidRDefault="003D7139" w:rsidP="003D7139">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  إذ كان وكيل الطاعن قد قدم مذكرة قرر فيها تنازله عن الطعن وترك الخصومة فيه بالنسبة للمطعون ضدهما الأولى والثاني، فإنه يتعين الحكم بإثبات ترك الطاعن للخصومة في الطعن بالنسبة للمطعون ضدهما الأولى والثاني.</w:t>
      </w:r>
    </w:p>
    <w:p w:rsidR="003D7139" w:rsidRPr="009907C7" w:rsidRDefault="003D7139" w:rsidP="003D7139">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المقرر </w:t>
      </w:r>
      <w:r w:rsidRPr="009907C7">
        <w:rPr>
          <w:rFonts w:asciiTheme="majorBidi" w:hAnsiTheme="majorBidi" w:cstheme="majorBidi" w:hint="cs"/>
          <w:sz w:val="32"/>
          <w:szCs w:val="32"/>
          <w:rtl/>
          <w:lang w:bidi="ar-BH"/>
        </w:rPr>
        <w:t xml:space="preserve">ــ </w:t>
      </w:r>
      <w:r w:rsidRPr="009907C7">
        <w:rPr>
          <w:rFonts w:asciiTheme="majorBidi" w:hAnsiTheme="majorBidi" w:cstheme="majorBidi"/>
          <w:sz w:val="32"/>
          <w:szCs w:val="32"/>
          <w:rtl/>
          <w:lang w:bidi="ar-BH"/>
        </w:rPr>
        <w:t xml:space="preserve">في قضاء هذه المحكمة </w:t>
      </w:r>
      <w:r w:rsidRPr="009907C7">
        <w:rPr>
          <w:rFonts w:asciiTheme="majorBidi" w:hAnsiTheme="majorBidi" w:cstheme="majorBidi" w:hint="cs"/>
          <w:sz w:val="32"/>
          <w:szCs w:val="32"/>
          <w:rtl/>
          <w:lang w:bidi="ar-BH"/>
        </w:rPr>
        <w:t xml:space="preserve">ــ </w:t>
      </w:r>
      <w:r w:rsidRPr="009907C7">
        <w:rPr>
          <w:rFonts w:asciiTheme="majorBidi" w:hAnsiTheme="majorBidi" w:cstheme="majorBidi"/>
          <w:sz w:val="32"/>
          <w:szCs w:val="32"/>
          <w:rtl/>
          <w:lang w:bidi="ar-BH"/>
        </w:rPr>
        <w:t>أن للقضاء النهائي قوة الأمر المقضي فيما يكون قد فصل فيه بين الخصوم بصفة صريحة أو ضمنية ومتى حاز الحكم هذه القوة فإنه يمنع الخصوم في الدعوى التي صدر فيها من العودة إلى المناقشة في المسألة التي فصل فيها ولو بأدلة قانونية أو واقعية لم يسبق إثارتها أو أثيرت ولم يبحثها الحكم الصادر فيها .</w:t>
      </w:r>
    </w:p>
    <w:p w:rsidR="003D7139" w:rsidRPr="009907C7" w:rsidRDefault="003D7139" w:rsidP="003D7139">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إذ كان الحكم المطعون فيه قد بنى قضاءه برفض الدعوى تأسيسا على ما خلص إليه من أن الشركة المطعون ضدها الأولى سبق أن أقامت على البنك الطاعن والمطعون ضده الثالث الدعوى رقم 24 لسنة 2013 أمام غرفة البحرين لتسوية المنازعات الاقتصادية والمالية والاستثمارية بطلب إلزامهما بالتضامن بأن يؤديا إليها مبلغ -/45.473.170 دولارا... تأسيسا على أنها ساهمت في الاكتتاب </w:t>
      </w:r>
      <w:r w:rsidRPr="009907C7">
        <w:rPr>
          <w:rFonts w:asciiTheme="majorBidi" w:hAnsiTheme="majorBidi" w:cstheme="majorBidi" w:hint="cs"/>
          <w:sz w:val="32"/>
          <w:szCs w:val="32"/>
          <w:rtl/>
          <w:lang w:bidi="ar-BH"/>
        </w:rPr>
        <w:t xml:space="preserve">في </w:t>
      </w:r>
      <w:r w:rsidRPr="009907C7">
        <w:rPr>
          <w:rFonts w:asciiTheme="majorBidi" w:hAnsiTheme="majorBidi" w:cstheme="majorBidi"/>
          <w:sz w:val="32"/>
          <w:szCs w:val="32"/>
          <w:rtl/>
          <w:lang w:bidi="ar-BH"/>
        </w:rPr>
        <w:t>المشروع بهذا المبلغ بموجب اتفاقية ضمان تغطية الإصدار المؤرخة 1/8/2004 المبرمة بينها وبين الطاعن وأن الأخير أخل بتنفيذ التزامه قبلها بعد إقامته المشروع العقاري المكتتب فيه نتيجة أخطاء رئيسه التنفيذي – المطعون ضده الثالث – في أعمال إدارته، وأن ما ورد بأسباب الحكم الصادر في تلك الدعوى والمرتبطة بمنطوقه من أن الطاعن أخفق في الوفاء بالتزامه قبل المطعون ضدها الناشئ عن الاتفاقية المذكورة نتيجة أخطاء المطعون ضده الثالث في إدارة المشروع المكتتب فيه، قد تضمن قضاءً ضمنيا بوجود هذه الاتفاقية وبصحتها وبراءتها من أي عيب باعتبار أن ثبوت الإخلال بحق أحد طرفيها وهو الطاعن لا يتصور أن يتحقق بناء على اتفاقية باطلة أو غير موجودة، فضلا عن تضمنه قضاءً صريح</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ا بإخلال الطاعن بالتزامه قبل المطعون ضدها الأولى بعدم إقامة المشروع وأنه المسئول عن رد المبالغ التي دفعتها للاكتتاب فيه بالاشتراك مع المطعون ضده الثالث نتيجة اخطائه في إدارة المشروع، وأن هذا الحكم السابق المحتج به قد حاز قوة الأمر المقضي بعدم قبول الطعن عليه بالتمييز في الطعن رقم 312 لسنة 2014 وأن مسألتي بطلان تلك الاتفاقية وإخلال المطعون ضدها الأولى بالتزامها قبل الطاعن هما الأساسان اللذان بني</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عليهما الدعوى الماثلة فلا يجوز الطلب فيها مجددا من الطاعن إبطال تلك الاتفاقية وإلغاء ما ترتب عليها من آثار وإلزام المطعون ضدهم بالمبالغ المطالب بها بناء على هذا البطلان المدع</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ى</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ولو بأدلة قانونية أو واقعية جديدة لما يقتضيه التعرض لموضوع الدعوى من تكرار للحكم السابق أو التعارض معه، وإذ رتب الحكم على هذا الأساس قضاءه بعدم أحقية الطاعن في طلباته فإنه يكون قد طبق القانون على وجهه الصحيح بأسباب سائغة تكفي لحمله وتتضمن الرد المسقط لما يخالفه، فيكون النعي عليه في هذا الخصوص على غير أساس. </w:t>
      </w:r>
    </w:p>
    <w:p w:rsidR="003D7139" w:rsidRPr="009907C7" w:rsidRDefault="003D7139" w:rsidP="003D7139">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لما كان ذلك وكان لا يجدي الطاعن ما يثيره من عدول الهيئة مصدرة الحكم عن الحكم التمهيدي الصادر فيها بندب خبير في الدعوى</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أن تبين أسباب هذا العدول بمحضر جلسة النطق بالحكم .</w:t>
      </w:r>
    </w:p>
    <w:p w:rsidR="003D7139" w:rsidRPr="009907C7" w:rsidRDefault="003D7139" w:rsidP="003D7139">
      <w:pPr>
        <w:numPr>
          <w:ilvl w:val="0"/>
          <w:numId w:val="1"/>
        </w:numPr>
        <w:bidi/>
        <w:spacing w:after="0" w:line="360" w:lineRule="auto"/>
        <w:ind w:left="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المقرر</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أنه ولئن كانت الفقرة الأخيرة من المادة 93 من لائحة إجراءات تسوية المنازعات الصادرة بقرار وزير العدل رقم 65 لسنة 2009 قد نصت على أنه "للهيئة أن تعدل عما حكمت به من إجراءات الإثبات بشرط أن تبين أسباب العدول بالمحضر..." إلا أنها لم ترتب </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جزاء على مخالفة هذا الإجراء، وكان الثابت من مدونات الحكم المطعون فيه أن الهيئة التي أصدرته عدلت عن الحكم التمهيدي الذي سبق أن أصدرته بندب خبير لعدم حاجتها للرأي الفني بعد أن وجدت بأوراق الدعوى ما يكفي لتكوين عقيدتها للفصل فيها وأثبتت هذا العدول بمحضر جلسة النطق بالحكم ومن ثم يكون النعي على الحكم في هذا الشأن على غير أساس.</w:t>
      </w:r>
    </w:p>
    <w:p w:rsidR="003D7139" w:rsidRPr="009907C7" w:rsidRDefault="003D7139" w:rsidP="003D7139">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ab/>
      </w:r>
    </w:p>
    <w:p w:rsidR="003D7139" w:rsidRPr="009907C7" w:rsidRDefault="003D7139" w:rsidP="003D7139">
      <w:pPr>
        <w:numPr>
          <w:ilvl w:val="0"/>
          <w:numId w:val="1"/>
        </w:numPr>
        <w:bidi/>
        <w:spacing w:after="0" w:line="360" w:lineRule="auto"/>
        <w:ind w:left="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المقرر</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أنه لما كانت الفقرة (أ) من المادة 84 من لائحة إجراءات تسوية المنازعات الصادرة بقرار وزير العدل رقم 65 لسنة 2009 قد نصت على أنه "على الهيئة عند إصدار الحكم الذي تنتهي به الخصومة أمامها أن تحكم من تلقاء نفسها في مصاريف الدعوى..." وكان من المقرر في قضاء هذه المحكمة أنه يكفي للحكم بمصاريف الدعوى ومن بينها أتعاب الخبراء أن يكون المحكوم عليه قد خسرها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حاجة لإبداء أي سبب آخر في الحكم. وكان الثابت بالأوراق أن الخبير المنتدب في الدعوى باشر المأمورية وصرف الأمانة التي قدرها له الحكم التمهيدي الصادر بندبه وهي مبلغ ــ/3000 دينار ثم قدرت له الهيئة في الحكم المنهي للخصومة أتعابا نهائية مقدارها -/2500 دينار، فيكون إلزام الحكم الطاعن بها باعتباره خاسر الدعوى متفقا وصحيح القانون، ويكون النعي عليه بهذا الوجه على غير أساس.</w:t>
      </w:r>
    </w:p>
    <w:p w:rsidR="003D7139" w:rsidRPr="009907C7" w:rsidRDefault="003D7139" w:rsidP="003D7139">
      <w:pPr>
        <w:tabs>
          <w:tab w:val="left" w:pos="720"/>
          <w:tab w:val="left" w:pos="2401"/>
          <w:tab w:val="left" w:pos="2998"/>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3D7139" w:rsidRPr="009907C7" w:rsidRDefault="003D7139" w:rsidP="003D7139">
      <w:pPr>
        <w:bidi/>
        <w:spacing w:after="0" w:line="360" w:lineRule="auto"/>
        <w:jc w:val="center"/>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              ـــــــــــــــــــــــــــــــــــــــــــــــــــــــــــــــ</w:t>
      </w:r>
    </w:p>
    <w:p w:rsidR="003D7139" w:rsidRPr="009907C7" w:rsidRDefault="003D7139" w:rsidP="003D7139">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المحكمة</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rPr>
        <w:tab/>
      </w:r>
      <w:r w:rsidRPr="009907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الوقائع - على ما يبين من الأوراق - تتحصل في أن البنك الطاعن أقام على المطعون ضدهم الدعوى رقم 16 لسنة 2014 أمام غرفة البحرين لتسوية المنازعات الاقتصادية والمالية والاستثمارية بطلب الحكم بإبطال اتفاقية ضمان تغطية الإصدار المؤرخة 1/8/2004 المبرمة بينه وبين الشركة المطعون ضدها الأولى واعتبارها كأن لم تكن وإلغاء ما ترتب عليها من آثار وإلزام المطعون ضدهم بالتضامن والتضامم بأن يؤدوا إليه مبلغ ــ/60 مليون دولار أمريكي وفوائده التأخيرية.. ومبلغ ــ/18 مليون دولار أمريكي على سبيل التعويض المؤقت، تأسيسا على أنه بنك استثماري إسلامي والمطعون ضدها الأولى شركة سعودية مقفلة تعمل في مجال النشاط العقاري والمطعون ضده الثاني يشغل رئيس مجلس إدارة الشركة الأخيرة والمطعون ضده الثالث شغل وظيفة الرئيس التنفيذي للبنك الطاعن منذ تأسيسه حتى 22/7/2007 ثم تبوأ بعد ذلك منصب رئيس مجلس إدارته، وفي منتصف عام 2004 أعد الطاعن وأسس مشروعا تطويرا عقاريا أسماه أساطير دبي محله دولة الإمارات العربية المتحدة و</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نشأ لأجل هذا المشروع شركة باسم أساطير للاستثمار وأصدر نشرة الاكتتاب الخاصة بهذا المشروع، وحدد المبلغ المطلوب استثماره وأصدر نشرة الاكتتاب بإجمالي مبلغ ــ/252 مليون دولار أمريكي تمت زيادته فيما بعد إلى مبلغ ــ/302 مليون دولار أمريكي وأنه بتاريخ 1/8/2004 تم إبرام اتفاقية ضمان تغطية إصدار – أي الاكتتاب – بينه ممثلا برئيسه التنفيذي آنذاك – المطعون ضده الثالث – وبين الشركة المطعون ضدها الأولى ممثلة برئيس مجلس إدارتها في ذلك الوقت – المطعون ضده الثاني – واتفق الطرفان على أن تضمن المطعون ضدها الأولى تغطية مبلغ -/100 مليون دولار من المبلغ المطلوب استثماره، تمت زيادته فيما بعد إلى مبلغ -/120 مليون دولار</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من خلال طرح أسهم شركة أساطير للاستثمار لمستثمرين خاصين بالشركة المذكورة مقابل الحصول على فائدة أو رسوم ضمان هذه التغطية بواقع -/40 مليون دولار، تمت زيادة هذا المبلغ فيما بعد ليصبح -/60 مليون دولار وهو مبلغ كبير ومبالغ فيه وغير مسبوق في مثل هذه العمليات المصرفية، إذ يعادل نسبة 50% من إجمالي مبلغ الاكتتاب وقد اكتشف الطاعن لاحقا أن المطعون ضدهما الثاني والثالث وتحت غطاء وبمساعدة الشركة المطعون ضدها الأولى قد اتفقوا فيما بينهم على اسباغ الشرعية القانونية زورا على هذه الاتفاقية المزعومة قاصدين من ذلك الاستيلاء على أموال الطاعن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وجه حق، وأنه تبين له لدى إغلاق المحفظة الاستثمارية للمشروع في منتصف عام 2005 أن المطعون ضدها الأولى قد أخفقت في تنفيذ التزامها بموجب الاتفاقية المذكورة ولم تتمكن إلا من تغطية اكتتابات تقدر قيمتها بمبلغ 5/46 مليون دولار فقط بعجز قدره 5/73 مليون دولار من المبلغ المتفق عليه ورغم ذلك لم يتخذ المطعون ضده الثالث إبان عمله رئيسا تنفيذيا للبنك الطاعن </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إجراءات لحث الشركة المطعون ضدها الأولى على الوفاء بالتزامها المذكور وقد كشفت الأحداث لاحقا أن سكوته لم يكن إلا بقصد التمهيد لعملية الاستيلاء على أموال البنك الطاعن وهو ما تجلى في استغلاله لوظيفته باعتماده تحويل مبلغ -/60 مليون دولار لحساب المطعون ضده الثاني الشخصي وليس لحساب الشركة المطعون ضدها الأولى المتعاقدة فعليا معه، وتبين له أن هذا المبلغ الأخير هو مبلغ العمولة المتفق عليها سرا بين المطعون ضدهم والمستحقة للمطعون ضدهما الأولى والثاني مقابل حصول المطعون ضده الثالث على عمولة مقدارها -/25 مليون دولار منهما، وأن اتفاقية ضمان الإصدار المذكورة ما هي إلا وسيلة اصطنعها المطعون ضدهم ليتمكنوا من الاستيلاء على أموال البنك الطاعن بغير حق ومن ثم تضحى باطلة حابطة الأثر لما شابها من غش وتدليس ومن ثم أقام الدعوى. دفع المطعون ضدهما الأولى والثاني بعدم جواز نظر الدعوى لسابقة الفصل في النزاع المردد بين الخصوم بالحكم النهائي الصادر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هيئة تسوية النزاع في الدعوى رقم 24 لسنة 2013</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ندبت هيئة تسوية النزاع خبيرا في الدعوى وبعد أن باشر مأموريته، حكمت بتاريخ 21/6/2015 بالعدول عن حكم ندب خبير ورفض الدعوى وألزمت الطاعن بالمصروفات شاملة مبلغ ــ/2500 دينار أتعابا للخبير...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طعن الطاعن في هذا الحكم بطريق التمييز وأودع المكتب الفني مذكرة برأيه في الطعن، وقدم وكيل الطاعن مذكرة قرر فيها تنازله عن الطعن بالنسبة للمطعون ضدها الأولى – شركة تنميات للاستثمار التجاري – والمطعون ضده الثاني .</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إنه من المقرر – في قضاء هذه المحكمة – أن النزول عن الطعن أو ترك الخصومة فيه متى حصل بعد انقضاء ميعاد الطعن يتضمن بالضرورة نزولا من الطاعن عن حقه في الطعن وتتحقق آثاره بمجرد حصوله بغير حاجة إلى قبول الخصم الآخر ولا يملك المتنازل أن يعود فيما أسقط حقه فيه، وإذ كان وكيل الطاعن قد قدم مذكرة قرر فيها تنازله عن الطعن وترك الخصومة فيه بالنسبة للمطعون ضدهما الأولى والثاني، فإنه يتعين الحكم بإثبات ترك الطاعن للخصومة في الطعن بالنسبة للمطعون ضدهما الأولى والثاني.</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إنه ما عدا ما تقدم ، فإن الطعن استوف أوضاعه الشكلية بالنسبة إلى المطعون ضده الثالث.</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الطعن أقيم على سبب واحد من خمسة أوجه، حاصل النعي بالأوجه الأربعة الأولى منها على الحكم المطعون فيه البطلان ومخالفة القانون والخطأ في تطبيقه حين رفض دعواه استنادا لما ذهب إليه من أنه سبق القضاء بالحكم الصادر من غرفة تسوية ال</w:t>
      </w:r>
      <w:r w:rsidRPr="009907C7">
        <w:rPr>
          <w:rFonts w:asciiTheme="majorBidi" w:hAnsiTheme="majorBidi" w:cstheme="majorBidi" w:hint="cs"/>
          <w:sz w:val="32"/>
          <w:szCs w:val="32"/>
          <w:rtl/>
          <w:lang w:bidi="ar-BH"/>
        </w:rPr>
        <w:t>م</w:t>
      </w:r>
      <w:r w:rsidRPr="009907C7">
        <w:rPr>
          <w:rFonts w:asciiTheme="majorBidi" w:hAnsiTheme="majorBidi" w:cstheme="majorBidi"/>
          <w:sz w:val="32"/>
          <w:szCs w:val="32"/>
          <w:rtl/>
          <w:lang w:bidi="ar-BH"/>
        </w:rPr>
        <w:t>ن</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ز</w:t>
      </w:r>
      <w:r w:rsidRPr="009907C7">
        <w:rPr>
          <w:rFonts w:asciiTheme="majorBidi" w:hAnsiTheme="majorBidi" w:cstheme="majorBidi" w:hint="cs"/>
          <w:sz w:val="32"/>
          <w:szCs w:val="32"/>
          <w:rtl/>
          <w:lang w:bidi="ar-BH"/>
        </w:rPr>
        <w:t xml:space="preserve">عات </w:t>
      </w:r>
      <w:r w:rsidRPr="009907C7">
        <w:rPr>
          <w:rFonts w:asciiTheme="majorBidi" w:hAnsiTheme="majorBidi" w:cstheme="majorBidi"/>
          <w:sz w:val="32"/>
          <w:szCs w:val="32"/>
          <w:rtl/>
          <w:lang w:bidi="ar-BH"/>
        </w:rPr>
        <w:t>في الدعوى رقم 24 لسنة 2013 – المرددة بينه وبين المطعون ضدها الأولى والمطعون ضده الثالث – بصحة اتفاقية ضمان تغطية الإصدار المؤرخة 1/8/2004 وخلوها من أي عيب وأنه – أي الطاعن برئاسة المطعون ضده الثالث – هو الذي اخفق في تنفيذ التزامه المترتب على هذه الاتفاقية لعدم إقامته المشروع الذي اكتتبت فيه المطعون ضدها الأولى وأن مسألتي صحة الاتفاقية المذكورة من عدمه والطرف المخل بها هما مسألتان أساسيتان مشتركتان بين الدعوى السابقة المحتج بها وبين الدعوى الماثلة في حين أن الدعويين تختلفان في موضوعهما وسببهما، كما أن مسألة الغش والتدليس المؤسس</w:t>
      </w:r>
      <w:r w:rsidRPr="009907C7">
        <w:rPr>
          <w:rFonts w:asciiTheme="majorBidi" w:hAnsiTheme="majorBidi" w:cstheme="majorBidi" w:hint="cs"/>
          <w:sz w:val="32"/>
          <w:szCs w:val="32"/>
          <w:rtl/>
          <w:lang w:bidi="ar-BH"/>
        </w:rPr>
        <w:t>ة</w:t>
      </w:r>
      <w:r w:rsidRPr="009907C7">
        <w:rPr>
          <w:rFonts w:asciiTheme="majorBidi" w:hAnsiTheme="majorBidi" w:cstheme="majorBidi"/>
          <w:sz w:val="32"/>
          <w:szCs w:val="32"/>
          <w:rtl/>
          <w:lang w:bidi="ar-BH"/>
        </w:rPr>
        <w:t xml:space="preserve"> عليهما الدعوى الماثلة والمنسوبين إلى المطعون ضدهم لم يحسم النزاع بشأنهما في الحكم السابق ولا يمتنع عليه إعادة طرحهما في الدعوى الماثلة، وإذ لم يلتزم الحكم المطعون فيه هذا النظر وقضى بما يخالفه، وعدل عن الحكم التمهيدي الصادر بندب خبير في الدعوى بعد أن باشر مأموريته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بيان أسباب هذا العدول بمحضر جلسة حجز الدعوى للحكم بالمخالفة لما أوجبته المادة 93/ج من لائحة إجراءات تسوية ال</w:t>
      </w:r>
      <w:r w:rsidRPr="009907C7">
        <w:rPr>
          <w:rFonts w:asciiTheme="majorBidi" w:hAnsiTheme="majorBidi" w:cstheme="majorBidi" w:hint="cs"/>
          <w:sz w:val="32"/>
          <w:szCs w:val="32"/>
          <w:rtl/>
          <w:lang w:bidi="ar-BH"/>
        </w:rPr>
        <w:t>م</w:t>
      </w:r>
      <w:r w:rsidRPr="009907C7">
        <w:rPr>
          <w:rFonts w:asciiTheme="majorBidi" w:hAnsiTheme="majorBidi" w:cstheme="majorBidi"/>
          <w:sz w:val="32"/>
          <w:szCs w:val="32"/>
          <w:rtl/>
          <w:lang w:bidi="ar-BH"/>
        </w:rPr>
        <w:t>ن</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ز</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ا</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في هذا الخصوص، وهو ما يعيب الحكم ويستوجب نقضه.</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هذا النعي مردود، ذلك أنه من المقرر في قضاء هذه المحكمة أن للقضاء النهائي قوة الأمر المقضي فيما يكون قد فصل فيه بين الخصوم بصفة صريحة أو ضمنية ومتى حاز الحكم هذه القوة فإنه يمنع الخصوم في الدعوى التي صدر فيها من العودة إلى المناقشة في المسألة التي فصل فيها ولو بأدلة قانونية أو واقعية لم يسبق إثارتها أو أثيرت ولم يبحثها الحكم الصادر فيها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لما كان ذلك وكان الحكم المطعون فيه قد بنى قضاءه برفض الدعوى تأسيسا على ما خلص إليه من أن الشركة المطعون ضدها الأولى سبق أن أقامت على البنك الطاعن والمطعون ضده الثالث الدعوى رقم 24 لسنة 2013 أمام غرفة البحرين لتسوية المنازعات الاقتصادية والمالية والاستثمارية بطلب إلزامهما بالتضامن بأن يؤديا إليها مبلغ -/45.473.170 دولارا... تأسيسا على أنها ساهمت في الاكتتاب بمشروع أساطير دبي بهذا المبلغ بموجب اتفاقية ضمان تغطية الإصدار المؤرخة 1/8/2004 المبرمة بينها وبين الطاعن وأن الأخير أخل بتنفيذ التزامه قبلها بعد إقامته المشروع العقاري المكتتب فيه نتيجة أخطاء رئيسه التنفيذي – المطعون ضده الثالث – في أعمال إدارته، وأن ما ورد بأسباب الحكم الصادر في تلك الدعوى والمرتبطة بمنطوقه من أن الطاعن أخفق في الوفاء بالتزامه قبل المطعون ضدها الناشئ عن الاتفاقية المذكورة نتيجة أخطاء المطعون ضده الثالث في إدارة المشروع المكتتب فيه، قد تضمن قضاءً ضمني</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ا بوجود هذه الاتفاقية وبصحتها وبراءتها من أي عيب باعتبار أن ثبوت الإخلال بحق أحد طرفيها وهو الطاعن لا يتصور أن يتحقق بناء على اتفاقية باطلة أو غير موجودة، فضلا عن تضمنه قضاءً صريحًا بإخلال الطاعن بالتزامه قبل المطعون ضدها الأولى بعدم إقامة المشروع وأنه المسئول عن رد المبالغ التي دفعتها للاكتتاب فيه بالاشتراك مع المطعون ضده الثالث نتيجة اخطائه في إدارة المشروع، وأن هذا الحكم السابق المحتج به قد حاز قوة الأمر المقضي بعدم قبول الطعن عليه بالتمييز في الطعن رقم 312 لسنة 2014 وأن مسألتي بطلان تلك الاتفاقية وإخلال المطعون ضدها الأولى بالتزامها قبل الطاعن هما الأساسان اللذان بني</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عليهما الدعوى الماثلة فلا يجوز الطلب فيها مجددا من الطاعن إبطال تلك الاتفاقية وإلغاء ما ترتب عليها من آثار وإلزام المطعون ضدهم بالمبالغ المطالب بها بناء على هذا البطلان المدع</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ى</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ولو بأدلة قانونية أو واقعية جديدة لما يقتضيه التعرض لموضوع الدعوى من تكرار للحكم السابق أو التعارض معه، وإذ رتب الحكم على هذا الأساس قضاءه بعدم أحقية الطاعن في طلباته فإنه يكون قد طبق القانون على وجهه الصحيح بأسباب سائغة تكفي لحمله وتتضمن الرد المسقط لما يخالفه، فيكون النعي عليه في هذا الخصوص على غير أساس. لما كان ذلك وكان لا يجدي الطاعن ما يثيره من عدول الهيئة مصدرة الحكم عن الحكم التمهيدي الصادر فيها بندب خبير في الدعوى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أن تبين أسباب هذا العدول بمحضر جلسة النطق بالحكم، ذلك أنه ولئن كانت الفقرة الأخيرة من المادة 93 من لائحة إجراءات تسوية المنازعات الصادرة بقرار وزير العدل رقم 65 لسنة 2009 قد نصت على أنه "للهيئة أن تعدل عما حكمت به من إجراءات الإثبات بشرط أن تبين أسباب العدول بالمحضر..." إلا أنها لم ترتب </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جزاء على مخالفة هذا الإجراء، وكان الثابت من مدونات الحكم المطعون فيه أن الهيئة التي أصدرته عدلت عن الحكم التمهيدي الذي سبق أن أصدرته بندب خبير لعدم حاجتها للرأي الفني بعد أن وجدت بأوراق الدعوى ما يكفي لتكوين عقيدتها للفصل فيها وأثبتت هذا العدول بمحضر جلسة النطق بالحكم ومن ثم يكون النعي على الحكم في هذا الشأن على غير أساس.</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حاصل النعي بالوجه الخامس من سبب الطعن على الحكم المطعون فيه البطلان ومخالفة القانون والخطأ في تطبيقه حين قضى بإلزامه في الحكم المنهي للخصومة ضمن مصروفات الدعوى بمبلغ -/2500 دينار أتعابا للخبير رغم أن الهيئة عدلت عن ندبه وهو ما يعيب الحكم ويستوجب نقضه.</w:t>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 xml:space="preserve">وحيث إن هذا النعي مردود، ذلك أنه لما كانت الفقرة (أ) من المادة 84 من لائحة إجراءات تسوية المنازعات الصادرة بقرار وزير العدل رقم 65 لسنة 2009 قد نصت على أنه "على الهيئة عند إصدار الحكم الذي تنتهي به الخصومة أمامها أن تحكم من تلقاء نفسها في مصاريف الدعوى..." وكان من المقرر في قضاء هذه المحكمة أنه يكفي للحكم بمصاريف الدعوى ومن بينها أتعاب الخبراء أن يكون المحكوم عليه قد خسرها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حاجة لإبداء أي سبب آخر في الحكم. وكان الثابت بالأوراق أن الخبير المنتدب في الدعوى باشر المأمورية وصرف الأمانة التي قدرها له الحكم التمهيدي الصادر بندبه وهي مبلغ ــ/3000 دينار ثم قدرت له الهيئة في الحكم المنهي للخصومة أتعابا نهائية مقدارها -/2500 دينار، فيكون إلزام الحكم الطاعن بها باعتباره خاسر الدعوى متفقا وصحيح القانون، ويكون النعي عليه بهذا الوجه على غير أساس.</w:t>
      </w:r>
    </w:p>
    <w:p w:rsidR="003D7139" w:rsidRPr="009907C7" w:rsidRDefault="003D7139" w:rsidP="003D7139">
      <w:pPr>
        <w:tabs>
          <w:tab w:val="left" w:pos="987"/>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p>
    <w:p w:rsidR="003D7139" w:rsidRPr="009907C7" w:rsidRDefault="003D7139" w:rsidP="003D7139">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انه لما تقدم يتعين رفض الطعن مع إلزام الطاعن بالمصاريف ومائة دينار مقابل أتعاب المحاماة مع مصادرة مبلغ خمسين دينارا من الكفالة المودعة عملا بالسلطة الممنوحة للمحكمة بموجب المادة 14 من المرسوم بقانون رقم 64 لسنة 2014 بتعديل بعض أحكام المرسوم بقانون رقم 30 لسنة 2009.</w:t>
      </w:r>
    </w:p>
    <w:p w:rsidR="008064E6" w:rsidRDefault="008064E6">
      <w:pPr>
        <w:rPr>
          <w:lang w:bidi="ar-BH"/>
        </w:rPr>
      </w:pPr>
      <w:bookmarkStart w:id="0" w:name="_GoBack"/>
      <w:bookmarkEnd w:id="0"/>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92390"/>
    <w:multiLevelType w:val="hybridMultilevel"/>
    <w:tmpl w:val="7722F062"/>
    <w:lvl w:ilvl="0" w:tplc="D7383E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90"/>
    <w:rsid w:val="0003272B"/>
    <w:rsid w:val="00344690"/>
    <w:rsid w:val="003D7139"/>
    <w:rsid w:val="00806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13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13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2435</Words>
  <Characters>13882</Characters>
  <Application>Microsoft Office Word</Application>
  <DocSecurity>0</DocSecurity>
  <Lines>115</Lines>
  <Paragraphs>32</Paragraphs>
  <ScaleCrop>false</ScaleCrop>
  <Company/>
  <LinksUpToDate>false</LinksUpToDate>
  <CharactersWithSpaces>16285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2020-04-21T13:06:00Z</dcterms:created>
  <dcterms:modified xsi:type="dcterms:W3CDTF">2020-04-21T13:07:00Z</dcterms:modified>
</cp:coreProperties>
</file>