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0D4" w:rsidRPr="009907C7" w:rsidRDefault="004240D4" w:rsidP="004240D4">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جلسة 9 من مايو سنة 2017</w:t>
      </w:r>
    </w:p>
    <w:p w:rsidR="004240D4" w:rsidRPr="009907C7" w:rsidRDefault="004240D4" w:rsidP="004240D4">
      <w:pPr>
        <w:bidi/>
        <w:spacing w:after="0" w:line="360" w:lineRule="auto"/>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برئاسة</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المستشار أحمد حسن عبدالرازق</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وعضوية المستشارين</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محمد أبو القاسم خليل</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،محمد محمد محمد الصياد ،أحمد علي يحيى.</w:t>
      </w:r>
    </w:p>
    <w:p w:rsidR="004240D4" w:rsidRPr="009907C7" w:rsidRDefault="004240D4" w:rsidP="004240D4">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240D4" w:rsidRPr="009907C7" w:rsidRDefault="004240D4" w:rsidP="004240D4">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  183 </w:t>
      </w:r>
      <w:r w:rsidRPr="009907C7">
        <w:rPr>
          <w:rFonts w:asciiTheme="majorBidi" w:hAnsiTheme="majorBidi" w:cstheme="majorBidi"/>
          <w:b/>
          <w:bCs/>
          <w:sz w:val="32"/>
          <w:szCs w:val="32"/>
          <w:lang w:bidi="ar-BH"/>
        </w:rPr>
        <w:t xml:space="preserve"> </w:t>
      </w:r>
      <w:r w:rsidRPr="009907C7">
        <w:rPr>
          <w:rFonts w:asciiTheme="majorBidi" w:hAnsiTheme="majorBidi" w:cstheme="majorBidi"/>
          <w:b/>
          <w:bCs/>
          <w:sz w:val="32"/>
          <w:szCs w:val="32"/>
          <w:rtl/>
          <w:lang w:bidi="ar-BH"/>
        </w:rPr>
        <w:t>)</w:t>
      </w:r>
    </w:p>
    <w:p w:rsidR="004240D4" w:rsidRPr="009907C7" w:rsidRDefault="004240D4" w:rsidP="004240D4">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الطعن رقم 359 لسنة 2015 </w:t>
      </w:r>
    </w:p>
    <w:p w:rsidR="004240D4" w:rsidRPr="009907C7" w:rsidRDefault="004240D4" w:rsidP="004240D4">
      <w:pPr>
        <w:bidi/>
        <w:spacing w:after="0" w:line="360" w:lineRule="auto"/>
        <w:jc w:val="both"/>
        <w:rPr>
          <w:rFonts w:asciiTheme="majorBidi" w:hAnsiTheme="majorBidi" w:cstheme="majorBidi"/>
          <w:b/>
          <w:bCs/>
          <w:sz w:val="32"/>
          <w:szCs w:val="32"/>
          <w:u w:val="single"/>
          <w:rtl/>
          <w:lang w:bidi="ar-BH"/>
        </w:rPr>
      </w:pPr>
      <w:r w:rsidRPr="009907C7">
        <w:rPr>
          <w:rFonts w:asciiTheme="majorBidi" w:hAnsiTheme="majorBidi" w:cstheme="majorBidi"/>
          <w:b/>
          <w:bCs/>
          <w:sz w:val="32"/>
          <w:szCs w:val="32"/>
          <w:u w:val="single"/>
          <w:rtl/>
          <w:lang w:bidi="ar-BH"/>
        </w:rPr>
        <w:t xml:space="preserve"> (1- 2) تمييز . محاماة . وكالة .        </w:t>
      </w:r>
    </w:p>
    <w:p w:rsidR="004240D4" w:rsidRPr="009907C7" w:rsidRDefault="004240D4" w:rsidP="004240D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(1) الطعن بالتمييز . شرطه أن يكون محاميا مقبولا أمام محكمة التمييز موكلا من الطاعن أو من وكيل المصرح له بتوكيل محام للطعن بالتمييز . المواد 3 </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12 </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14 ق محكمة التمييز الصادر بالمرسوم بق رقم 8 لسنة 1989 . </w:t>
      </w:r>
    </w:p>
    <w:p w:rsidR="004240D4" w:rsidRPr="009907C7" w:rsidRDefault="004240D4" w:rsidP="004240D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(2) عدم تقديم المحامية الموقعة صحيفة الطعن بالتمييز التوكيل الأخير الصادر لمن وكلها لوقوف المحكمة على حدوده وما إذا كان يخول الموكل توكيل محام للطعن بالتمييز من عدمه . أثره . الطعن غير مقبول .  </w:t>
      </w:r>
      <w:r w:rsidRPr="009907C7">
        <w:rPr>
          <w:rFonts w:asciiTheme="majorBidi" w:hAnsiTheme="majorBidi" w:cstheme="majorBidi"/>
          <w:vanish/>
          <w:sz w:val="32"/>
          <w:szCs w:val="32"/>
          <w:rtl/>
          <w:lang w:bidi="ar-BH"/>
        </w:rPr>
        <w:t>أثرهاأأللاء غااهصض</w:t>
      </w:r>
      <w:r w:rsidRPr="009907C7">
        <w:rPr>
          <w:rFonts w:asciiTheme="majorBidi" w:hAnsiTheme="majorBidi" w:cstheme="majorBidi"/>
          <w:sz w:val="32"/>
          <w:szCs w:val="32"/>
          <w:rtl/>
          <w:lang w:bidi="ar-BH"/>
        </w:rPr>
        <w:t xml:space="preserve">      </w:t>
      </w:r>
    </w:p>
    <w:p w:rsidR="004240D4" w:rsidRPr="009907C7" w:rsidRDefault="004240D4" w:rsidP="004240D4">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4240D4" w:rsidRPr="009907C7" w:rsidRDefault="004240D4" w:rsidP="004240D4">
      <w:pPr>
        <w:numPr>
          <w:ilvl w:val="0"/>
          <w:numId w:val="1"/>
        </w:numPr>
        <w:tabs>
          <w:tab w:val="left" w:pos="823"/>
          <w:tab w:val="left" w:pos="1852"/>
          <w:tab w:val="center" w:pos="4061"/>
        </w:tabs>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من المقرر في قضاء هذه المحكمة أن مؤدى نصوص المواد 3، 12، 14 من قانون محكمة التمييز الصادر بالمرسوم بقانون رقم 8 لسنة 1989 أنه يشترط فيمن يقرر الطعن بطريق التمييز أن يكون محاميا مقبولا أمام هذه المحكمة موكلا من الطاعن أو من وكيله المصرح له بتوكيل محام للطعن بالتمييز. </w:t>
      </w:r>
    </w:p>
    <w:p w:rsidR="004240D4" w:rsidRPr="009907C7" w:rsidRDefault="004240D4" w:rsidP="004240D4">
      <w:pPr>
        <w:numPr>
          <w:ilvl w:val="0"/>
          <w:numId w:val="1"/>
        </w:numPr>
        <w:tabs>
          <w:tab w:val="left" w:pos="823"/>
          <w:tab w:val="left" w:pos="1852"/>
          <w:tab w:val="center" w:pos="4061"/>
        </w:tabs>
        <w:bidi/>
        <w:spacing w:after="0" w:line="360" w:lineRule="auto"/>
        <w:ind w:left="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إذ كان الثابت من أوراق الطعن والتوكيلات المقدمة فيه أن رئيس مجلس إدارة الشركة الطاعنة وكل الأستاذ</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بتاريخ 22/8/2011 من دائرة القضاء بإمارة أبوظبي والمصدق عليه من وزارة الخارجية بمملكة البحرين، كما أنه وبموجب التوكيل رقم 2013029485 وكل الاستاذ</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وكيلا عن المحامي ، المحامية الأستاذة الموقعة صحيفة الطعن إلا أن التوكيل الأخير لم يرفق لتقف المحكمة على حدوده وما </w:t>
      </w:r>
      <w:r w:rsidRPr="009907C7">
        <w:rPr>
          <w:rFonts w:asciiTheme="majorBidi" w:hAnsiTheme="majorBidi" w:cstheme="majorBidi"/>
          <w:sz w:val="32"/>
          <w:szCs w:val="32"/>
          <w:rtl/>
          <w:lang w:bidi="ar-BH"/>
        </w:rPr>
        <w:lastRenderedPageBreak/>
        <w:t>إذا كان يخول الموكل توكيل محام للطعن بالتمييز من عدمه، ومن ثم يكون الطعن غير مقبول.</w:t>
      </w:r>
    </w:p>
    <w:p w:rsidR="004240D4" w:rsidRPr="009907C7" w:rsidRDefault="004240D4" w:rsidP="004240D4">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المحكمة</w:t>
      </w:r>
    </w:p>
    <w:p w:rsidR="004240D4" w:rsidRPr="009907C7" w:rsidRDefault="004240D4" w:rsidP="004240D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rPr>
        <w:tab/>
      </w:r>
      <w:r w:rsidRPr="009907C7">
        <w:rPr>
          <w:rFonts w:asciiTheme="majorBidi" w:hAnsiTheme="majorBidi" w:cstheme="majorBidi"/>
          <w:sz w:val="32"/>
          <w:szCs w:val="32"/>
          <w:rtl/>
          <w:lang w:bidi="ar-BH"/>
        </w:rPr>
        <w:t>بعد الاطلاع على الأوراق، وسماع التقرير الذي تلاه القاضي المقرر، وبعد المداولة.</w:t>
      </w:r>
    </w:p>
    <w:p w:rsidR="004240D4" w:rsidRPr="009907C7" w:rsidRDefault="004240D4" w:rsidP="004240D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 الوقائع - على ما يبين من الحكم المطعون فيه وسائر الأوراق - تتحصل في أن المطعون ضده أقام على الطاعنة الدعوى رقم 2/2011/13037/6 أمام المحكمة الكبرى المدنية بطلب الحكم بإلزامها بأن تؤدي إليه مبلغ 93420 دينارا تعويضا عن الأضرار المادية والأدبية التي لحقت به بسبب ما ارتكبته من أخطاء حيث تعاقد معها على شراء الفيلا في المشروع على أن يكون التسليم في موعد غايته يناير 2010 ورغم سداده كامل الثمن فإنها لم تقم بالتسليم إلا في 1/5/2011 وقد لحقته من جراء ذلك أضرار عديدة بينها تفصيلا ومن ثم فإنه يطالب بالتعويض عنها. ندبت المحكمة خبيرا في الدعوى ثم حكمت بإلزام الطاعنة بأن تؤدي إلى المطعون ضده مبلغ 17750 دينارا عبارة عن 12750 دينارا تكبدها في استئجار شقة لتأخرها في التسليم ومبلغ 5000 دينار تمثل ما فاته من كسب و</w:t>
      </w:r>
      <w:r w:rsidRPr="009907C7">
        <w:rPr>
          <w:rFonts w:asciiTheme="majorBidi" w:hAnsiTheme="majorBidi" w:cstheme="majorBidi" w:hint="cs"/>
          <w:sz w:val="32"/>
          <w:szCs w:val="32"/>
          <w:rtl/>
          <w:lang w:bidi="ar-BH"/>
        </w:rPr>
        <w:t xml:space="preserve"> ما </w:t>
      </w:r>
      <w:r w:rsidRPr="009907C7">
        <w:rPr>
          <w:rFonts w:asciiTheme="majorBidi" w:hAnsiTheme="majorBidi" w:cstheme="majorBidi"/>
          <w:sz w:val="32"/>
          <w:szCs w:val="32"/>
          <w:rtl/>
          <w:lang w:bidi="ar-BH"/>
        </w:rPr>
        <w:t>لحق به من خسارة لعدم التسجيل ونقل الملكية بعد سداد كامل الثمن . استأنفت الطاعنة هذا الحكم بالاستئناف رقم 3/2014/1457/9 أمام محكمة الاستئناف العليا المدنية، كما استأنفه المطعون ضده أمام ذات المحكمة بالاستئناف رقم 3/2014/1576/3 وبعد أن ضمت المحكمة الاستئناف الثاني إلى الأول حكمت برفض الاستئنافين وتأييد الحكم المستأنف. طعنت الطاعنة في هذا الحكم بطريق التمييز وقدم المكتب الفني مذكرة برأيه في الطعن كما قدم المطعون ضده مذكرة برده دفع فيها بعدم قبول الطعن شكلا لخلو الأوراق من التوكيل الصادر من الأستاذ</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إلى الاستاذ</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الموكل من قبله.</w:t>
      </w:r>
    </w:p>
    <w:p w:rsidR="004240D4" w:rsidRPr="009907C7" w:rsidRDefault="004240D4" w:rsidP="004240D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انه من المقرر في قضاء هذه المحكمة أن مؤدى نصوص المواد 3، 12، 14 من قانون محكمة التمييز الصادر بالمرسوم بقانون رقم 8 لسنة 1989 أنه يشترط فيمن يقرر الطعن بطريق التمييز أن يكون محاميا مقبولا أمام هذه المحكمة موكلا من الطاعن أو من وكيله المصرح له بتوكيل محام للطعن بالتمييز. لما كان ذلك وكان الثابت من أوراق الطعن والتوكيلات المقدمة فيه أن رئيس مجلس إدارة الشركة الطاعنة وكل الأستاذ المحامي</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بالتوكيل المصدق عليه  بتاريخ 22/8/2011 من دائرة القضاء بإمارة أبوظبي والمصدق عليه من وزارة الخارجية بمملكة البحرين، كما أنه وبموجب التوكيل رقم 2013029485 وكل المحامي</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باعتباره وكيلا عن الأستاذ المحامي الأول بالتوكيل ،المحامية الأستاذة الموقعة صحيفة الطعن إلا أن التوكيل الأخير لم يرفق لتقف المحكمة على حدوده وما إذا كان يخول الموكل توكيل محام للطعن بالتمييز من عدمه، ومن ثم يكون الطعن غير مقبول.</w:t>
      </w:r>
    </w:p>
    <w:p w:rsidR="004240D4" w:rsidRPr="009907C7" w:rsidRDefault="004240D4" w:rsidP="004240D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إنه عن المصاريف فالمحكمة تلزم الطاعنة بها مع مصادرة الكفالة.</w:t>
      </w:r>
    </w:p>
    <w:p w:rsidR="008064E6" w:rsidRDefault="008064E6">
      <w:pPr>
        <w:rPr>
          <w:lang w:bidi="ar-BH"/>
        </w:rPr>
      </w:pPr>
      <w:bookmarkStart w:id="0" w:name="_GoBack"/>
      <w:bookmarkEnd w:id="0"/>
    </w:p>
    <w:sectPr w:rsidR="008064E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A5DD5"/>
    <w:multiLevelType w:val="hybridMultilevel"/>
    <w:tmpl w:val="E78A3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085"/>
    <w:rsid w:val="0003272B"/>
    <w:rsid w:val="004240D4"/>
    <w:rsid w:val="005B3085"/>
    <w:rsid w:val="00806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D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D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2020-04-21T13:05:00Z</dcterms:created>
  <dcterms:modified xsi:type="dcterms:W3CDTF">2020-04-21T13:05:00Z</dcterms:modified>
</cp:coreProperties>
</file>