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33" w:rsidRPr="000951F0" w:rsidRDefault="00C41633" w:rsidP="00C41633">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جلسة 17 من ابريل سنة 2017</w:t>
      </w:r>
    </w:p>
    <w:p w:rsidR="00C41633" w:rsidRPr="000951F0" w:rsidRDefault="00C41633" w:rsidP="00C41633">
      <w:pPr>
        <w:spacing w:after="0" w:line="360" w:lineRule="auto"/>
        <w:jc w:val="lowKashida"/>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برئاسة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المستشارعلي يوسف منصور</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 المستشارين/ يحي</w:t>
      </w:r>
      <w:r w:rsidRPr="000951F0">
        <w:rPr>
          <w:rFonts w:asciiTheme="majorBidi" w:eastAsia="Times New Roman" w:hAnsiTheme="majorBidi" w:cs="Times New Roman" w:hint="cs"/>
          <w:sz w:val="32"/>
          <w:szCs w:val="32"/>
          <w:rtl/>
          <w:lang w:bidi="ar-BH"/>
        </w:rPr>
        <w:t>ى</w:t>
      </w:r>
      <w:r w:rsidRPr="000951F0">
        <w:rPr>
          <w:rFonts w:asciiTheme="majorBidi" w:eastAsia="Times New Roman" w:hAnsiTheme="majorBidi" w:cs="Times New Roman"/>
          <w:sz w:val="32"/>
          <w:szCs w:val="32"/>
          <w:rtl/>
          <w:lang w:bidi="ar-BH"/>
        </w:rPr>
        <w:t xml:space="preserve"> فتحي شافعي يمامة ،عبدالله يعقوب عبدالرحمن ، محمد حسن البوعينين ، عبدالمنعم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براهيم الشهاوي</w:t>
      </w:r>
    </w:p>
    <w:p w:rsidR="00C41633" w:rsidRPr="000951F0" w:rsidRDefault="00C41633" w:rsidP="00C41633">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C41633" w:rsidRPr="000951F0" w:rsidRDefault="00C41633" w:rsidP="00C41633">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146 </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w:t>
      </w:r>
    </w:p>
    <w:p w:rsidR="00C41633" w:rsidRPr="000951F0" w:rsidRDefault="00C41633" w:rsidP="00C41633">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الطعن رقم 277 لسنة 2015 </w:t>
      </w:r>
    </w:p>
    <w:p w:rsidR="00C41633" w:rsidRPr="000951F0" w:rsidRDefault="00C41633" w:rsidP="00C41633">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(1- 2) اثبات . حكم "عيوب التدليل : القصور المبطل". دعوى.</w:t>
      </w:r>
    </w:p>
    <w:p w:rsidR="00C41633" w:rsidRPr="000951F0" w:rsidRDefault="00C41633" w:rsidP="00C4163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(1) الأحكام . وجوب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شتمالها على الأسباب الواقعية من عرض مجمل لوقائع الدعوى وطلبات الخصوم ودفوعهم ودفاعهم الجوهر</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الذ</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تتأثر به نتيجة النزاع ويتغير به وجه الرأ</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فى الدعو</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 مخالفة ذلك أو القصور فيها . مؤداه البطلان.</w:t>
      </w:r>
    </w:p>
    <w:p w:rsidR="00C41633" w:rsidRPr="000951F0" w:rsidRDefault="00C41633" w:rsidP="00C41633">
      <w:pPr>
        <w:tabs>
          <w:tab w:val="left" w:pos="-495"/>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C41633" w:rsidRPr="000951F0" w:rsidRDefault="00C41633" w:rsidP="00C41633">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(2) ثبوت اختلاف وقائع وطلبات الخصوم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المبتدأة عما حصلته محكمة الاستئناف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حكمها الذ</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خلا مما قدمه الخصوم من طلبات وأوجه دفاع أو دفوع وخلاصة ما استندوا إليه من الأدلة الواقعة مخالفا بذلك نص المادة 189 مرافعات . قصور مبطل.</w:t>
      </w:r>
    </w:p>
    <w:p w:rsidR="00C41633" w:rsidRPr="000951F0" w:rsidRDefault="00C41633" w:rsidP="00C41633">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C41633" w:rsidRPr="000951F0" w:rsidRDefault="00C41633" w:rsidP="00C41633">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 xml:space="preserve">             </w:t>
      </w:r>
    </w:p>
    <w:p w:rsidR="00C41633" w:rsidRPr="000951F0" w:rsidRDefault="00C41633" w:rsidP="00C41633">
      <w:pPr>
        <w:numPr>
          <w:ilvl w:val="0"/>
          <w:numId w:val="1"/>
        </w:numPr>
        <w:spacing w:after="0" w:line="360" w:lineRule="auto"/>
        <w:ind w:left="0"/>
        <w:jc w:val="lowKashida"/>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المقر</w:t>
      </w:r>
      <w:r w:rsidRPr="000951F0">
        <w:rPr>
          <w:rFonts w:asciiTheme="majorBidi" w:eastAsia="Times New Roman" w:hAnsiTheme="majorBidi" w:cs="Times New Roman" w:hint="cs"/>
          <w:sz w:val="32"/>
          <w:szCs w:val="32"/>
          <w:rtl/>
          <w:lang w:bidi="ar-BH"/>
        </w:rPr>
        <w:t>ر</w:t>
      </w:r>
      <w:r w:rsidRPr="000951F0">
        <w:rPr>
          <w:rFonts w:asciiTheme="majorBidi" w:eastAsia="Times New Roman" w:hAnsiTheme="majorBidi" w:cs="Times New Roman"/>
          <w:sz w:val="32"/>
          <w:szCs w:val="32"/>
          <w:rtl/>
          <w:lang w:bidi="ar-BH"/>
        </w:rPr>
        <w:t xml:space="preserve"> مفاد النص في المادة 189 من قانون المرافعات أن تكون الأحكام مشتملة على الأسباب الواقعية من عرض مجمل لوقائع الدعوى ثم طلبات الخصوم وخلاصة موجزة لدفوعهم ودفاعهم الجوهري الذي تتأثر به نتيجة النزاع ويتغير به وجه الرأي في الدعوى ورتبت البطلان جزاء على اغفالها أو القصور فيها</w:t>
      </w:r>
      <w:r w:rsidRPr="000951F0">
        <w:rPr>
          <w:rFonts w:asciiTheme="majorBidi" w:eastAsia="Times New Roman" w:hAnsiTheme="majorBidi" w:cs="Times New Roman"/>
          <w:sz w:val="32"/>
          <w:szCs w:val="32"/>
          <w:lang w:bidi="ar-BH"/>
        </w:rPr>
        <w:t>.</w:t>
      </w:r>
    </w:p>
    <w:p w:rsidR="00C41633" w:rsidRPr="000951F0" w:rsidRDefault="00C41633" w:rsidP="00C41633">
      <w:pPr>
        <w:numPr>
          <w:ilvl w:val="0"/>
          <w:numId w:val="1"/>
        </w:numPr>
        <w:spacing w:after="0" w:line="360" w:lineRule="auto"/>
        <w:ind w:left="0"/>
        <w:jc w:val="lowKashida"/>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اذ كان البين من مدونات الحكم المطعون فيه أن منازعة طرفيه تدور حول طلب أمر أداء قضي فيه بتاريخ 31/3/2014 بإلزام المحكوم عليه بأن يؤدي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لخصم الآخر المبلغ المطالب به والمقدر ب</w:t>
      </w:r>
      <w:r w:rsidRPr="000951F0">
        <w:rPr>
          <w:rFonts w:asciiTheme="majorBidi" w:eastAsia="Times New Roman" w:hAnsiTheme="majorBidi" w:cs="Times New Roman" w:hint="cs"/>
          <w:sz w:val="32"/>
          <w:szCs w:val="32"/>
          <w:rtl/>
          <w:lang w:bidi="ar-BH"/>
        </w:rPr>
        <w:t xml:space="preserve">ـ </w:t>
      </w:r>
      <w:r w:rsidRPr="000951F0">
        <w:rPr>
          <w:rFonts w:asciiTheme="majorBidi" w:eastAsia="Times New Roman" w:hAnsiTheme="majorBidi" w:cs="Times New Roman"/>
          <w:sz w:val="32"/>
          <w:szCs w:val="32"/>
          <w:rtl/>
          <w:lang w:bidi="ar-BH"/>
        </w:rPr>
        <w:t>33307</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900 دنانير منتهيا لتأييد حكم محكمة أول درجة لأسبابه وهو موضوع يغاير وقائع الحكم المستأنف الذي يدور الخلاف </w:t>
      </w:r>
      <w:r w:rsidRPr="000951F0">
        <w:rPr>
          <w:rFonts w:asciiTheme="majorBidi" w:eastAsia="Times New Roman" w:hAnsiTheme="majorBidi" w:cs="Times New Roman"/>
          <w:sz w:val="32"/>
          <w:szCs w:val="32"/>
          <w:rtl/>
          <w:lang w:bidi="ar-BH"/>
        </w:rPr>
        <w:lastRenderedPageBreak/>
        <w:t xml:space="preserve">بين طرفيه حول طلب المطعون ضدها إحالة الدعوى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 xml:space="preserve">ى </w:t>
      </w:r>
      <w:r w:rsidRPr="000951F0">
        <w:rPr>
          <w:rFonts w:asciiTheme="majorBidi" w:eastAsia="Times New Roman" w:hAnsiTheme="majorBidi" w:cs="Times New Roman"/>
          <w:sz w:val="32"/>
          <w:szCs w:val="32"/>
          <w:rtl/>
          <w:lang w:bidi="ar-BH"/>
        </w:rPr>
        <w:t xml:space="preserve">خبير محاسبي لاحتساب الأضرار التي لحقتها وإلزام الطاعن أن يؤدي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ها مبلغ 5100 دينار تأسيسا على حصولها على حكم من المحكمة الكبرى المدنية في الدعوى رقم 374 لسنة 2011 بطلاقها من الطاعن وال</w:t>
      </w:r>
      <w:r w:rsidRPr="000951F0">
        <w:rPr>
          <w:rFonts w:asciiTheme="majorBidi" w:eastAsia="Times New Roman" w:hAnsiTheme="majorBidi" w:cs="Times New Roman" w:hint="cs"/>
          <w:sz w:val="32"/>
          <w:szCs w:val="32"/>
          <w:rtl/>
          <w:lang w:bidi="ar-BH"/>
        </w:rPr>
        <w:t>ذ</w:t>
      </w:r>
      <w:r w:rsidRPr="000951F0">
        <w:rPr>
          <w:rFonts w:asciiTheme="majorBidi" w:eastAsia="Times New Roman" w:hAnsiTheme="majorBidi" w:cs="Times New Roman"/>
          <w:sz w:val="32"/>
          <w:szCs w:val="32"/>
          <w:rtl/>
          <w:lang w:bidi="ar-BH"/>
        </w:rPr>
        <w:t xml:space="preserve">ي تزوجته بموجب عقد زواج مؤرخ 27/12/2007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الكنيسة بالمنامة طبقا للديانة المسيحية – المذهب الكاثوليكي الروماني، و</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سلمها منه رسالة باقترافه جريمة الزنى وعدم رغبته في استمرار العلاقة الزوجية وكانت نفقتها واجبة على الطاعن ومن تبعات الطلاق و</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 xml:space="preserve">جابتها محكمة أول درجة لطلبها رفضت بإلزام الطاعن بأن يؤدي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ها مبلغ 3750 دينارا كنفقة شهرية ونفقة متعة بالحكم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نها بتاريخ 26/3/2014، مما تكون معه وقائع وطلبات الخصوم في الدعوى المبتدأة مغايرة ومختلفة تماما عما حصلته محكمة الاستئناف في حكمها الذي خلا مما قدمه الخصوم من طلبات وأوجه دفاع أو دفوع وخلاصة ما استندوا إليه من الأدلة الواقعية مخالفا بذلك نص المادة 189 من قانون المرافعات مخالفة تستوجب نقضه</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ولا يغير من ذلك إحالة الحكم المطعون فيه إلى حكم محكمة أول درجة إذ إن هذه الإحالة منها وهو بصدد موضوع يغاير واقعة الدعوى الماثلة لا تجد محلا في الحكم المستأنف ومن ثم فإن الحكم يكون قد ران عليه القصور المبطل في أسبابه وهو ما يعجز معه محكمة التمييز عن مراقبة تطبيق صحيح القانون مما يوجب نقضه </w:t>
      </w:r>
      <w:r w:rsidRPr="000951F0">
        <w:rPr>
          <w:rFonts w:asciiTheme="majorBidi" w:eastAsia="Times New Roman" w:hAnsiTheme="majorBidi" w:cs="Times New Roman"/>
          <w:sz w:val="32"/>
          <w:szCs w:val="32"/>
          <w:lang w:bidi="ar-BH"/>
        </w:rPr>
        <w:t>.</w:t>
      </w:r>
    </w:p>
    <w:p w:rsidR="00C41633" w:rsidRPr="000951F0" w:rsidRDefault="00C41633" w:rsidP="00C41633">
      <w:pPr>
        <w:spacing w:after="0" w:line="360" w:lineRule="auto"/>
        <w:jc w:val="lowKashida"/>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ـــــــــــــــــــــــــــــــــــــــــــــــــــــــــــــــ</w:t>
      </w:r>
    </w:p>
    <w:p w:rsidR="00C41633" w:rsidRPr="000951F0" w:rsidRDefault="00C41633" w:rsidP="00C41633">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المحكمة</w:t>
      </w:r>
    </w:p>
    <w:p w:rsidR="00C41633" w:rsidRPr="000951F0" w:rsidRDefault="00C41633" w:rsidP="00C41633">
      <w:pPr>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بعد الاطلاع على الأوراق، وسماع التقرير الذي تلاه القاضي المقرر، وبعد المداولة.</w:t>
      </w:r>
    </w:p>
    <w:p w:rsidR="00C41633" w:rsidRPr="000951F0" w:rsidRDefault="00C41633" w:rsidP="00C41633">
      <w:pPr>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حيث إن الطعن استوفى أوضاعه الشكلية.</w:t>
      </w:r>
    </w:p>
    <w:p w:rsidR="00C41633" w:rsidRPr="000951F0" w:rsidRDefault="00C41633" w:rsidP="00C41633">
      <w:pPr>
        <w:spacing w:after="0" w:line="360" w:lineRule="auto"/>
        <w:jc w:val="lowKashida"/>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إن الوقائع – على ما يبين من الأوراق – تتحصل في أن المطعون ضدها أقامت على الطاعن الدعوى رقم 12410 لسنة 2012 أمام المحكمة الكبرى المدنية بطلب الحكم بإلزامه بأن يؤدي لها مبلغ 5100 دينار وإحالة الدعوى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 xml:space="preserve">ى </w:t>
      </w:r>
      <w:r w:rsidRPr="000951F0">
        <w:rPr>
          <w:rFonts w:asciiTheme="majorBidi" w:eastAsia="Times New Roman" w:hAnsiTheme="majorBidi" w:cs="Times New Roman"/>
          <w:sz w:val="32"/>
          <w:szCs w:val="32"/>
          <w:rtl/>
          <w:lang w:bidi="ar-BH"/>
        </w:rPr>
        <w:t>خبير محاسبي لاحتساب الأضرار التي لحقتها على سند من حصولها على حكم من المحكمة الكبرى المدنية بطلاقها من الطاعن طبقا للديانة المسيحية – المذهب الكاثوليكي الروماني</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وكانت نفقتها واجبة على الطاعن فقد أقامت دعواها</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حكمت المحكمة بإلزام الطاعن بأن يؤدي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 xml:space="preserve">ى </w:t>
      </w:r>
      <w:r w:rsidRPr="000951F0">
        <w:rPr>
          <w:rFonts w:asciiTheme="majorBidi" w:eastAsia="Times New Roman" w:hAnsiTheme="majorBidi" w:cs="Times New Roman"/>
          <w:sz w:val="32"/>
          <w:szCs w:val="32"/>
          <w:rtl/>
          <w:lang w:bidi="ar-BH"/>
        </w:rPr>
        <w:t>لمطعون ضدها مبلغ 3450 دينارا والفائدة بحكم استأنفته المطعون ضدها بالاستئناف رقم 1865 لسنة 2014 أمام محكمة الاستئناف العليا المدنية، واستأنفه الطاعن بالاستئناف رقم 1922 لسنة 2014 أمام ذات المحكمة التي ضمت الاستئنافين للارتباط وحكمت برفضهما وتأييد الحكم المستأنف</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طعن الطاعن في هذا الحكم بطريق التمييز، والمكتب الفني للمحكمة قدم مذكرة برأيه في الطعن.</w:t>
      </w:r>
    </w:p>
    <w:p w:rsidR="00C41633" w:rsidRPr="000951F0" w:rsidRDefault="00C41633" w:rsidP="00C41633">
      <w:pPr>
        <w:spacing w:after="0" w:line="360" w:lineRule="auto"/>
        <w:jc w:val="lowKashida"/>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مما ينعاه الطاعن على الحكم المطعون فيه مخالفة القانون والخطأ في تطبيقه بتأييد الحكم الابتدائي الذي أعمل قواعد قانون الأسرة البحريني على الدعوى رغم تمسكه في دفاعه بأنه والمطعون ضدها هنديا الجنسية مسيحيا الديانة كاثوليكيا الملة مما يعني ضرورة تطبيق قواعد القانون الأجنبي الذي يحكم الواقعة إلا أن الحكم المطعون فيه لم يورد عناصر الدعوى ودفاعه بالمخالفة للأثر الناقل للاستئناف مما يعيبه بالقصور المبطل ويستوجب نقضه.</w:t>
      </w:r>
    </w:p>
    <w:p w:rsidR="00C41633" w:rsidRPr="000951F0" w:rsidRDefault="00C41633" w:rsidP="00C41633">
      <w:pPr>
        <w:spacing w:after="0" w:line="360" w:lineRule="auto"/>
        <w:jc w:val="lowKashida"/>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ab/>
        <w:t>وحيث إن هذا النعي في محله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أن مفاد النص في المادة 189 من قانون المرافعات أن تكون الأحكام مشتملة على الأسباب الواقعية من عرض مجمل لوقائع الدعوى ثم طلبات الخصوم وخلاصة موجزة لدفوعهم ودفاعهم الجوهري الذي تتأثر به نتيجة النزاع ويتغير به وجه الرأي في الدعوى ورتبت البطلان جزاء على اغفالها أو القصور فيها</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لما كان ذلك وكان البين من مدونات الحكم المطعون فيه أن منازعة طرفيه تدور حول طلب أمر أداء قضي فيه بتاريخ 31/3/2014 بإلزام المحكوم عليه بأن يؤدي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 xml:space="preserve">ى </w:t>
      </w:r>
      <w:r w:rsidRPr="000951F0">
        <w:rPr>
          <w:rFonts w:asciiTheme="majorBidi" w:eastAsia="Times New Roman" w:hAnsiTheme="majorBidi" w:cs="Times New Roman"/>
          <w:sz w:val="32"/>
          <w:szCs w:val="32"/>
          <w:rtl/>
          <w:lang w:bidi="ar-BH"/>
        </w:rPr>
        <w:t>لخصم الآخر المبلغ المطالب به والمقدر ب</w:t>
      </w:r>
      <w:r w:rsidRPr="000951F0">
        <w:rPr>
          <w:rFonts w:asciiTheme="majorBidi" w:eastAsia="Times New Roman" w:hAnsiTheme="majorBidi" w:cs="Times New Roman" w:hint="cs"/>
          <w:sz w:val="32"/>
          <w:szCs w:val="32"/>
          <w:rtl/>
          <w:lang w:bidi="ar-BH"/>
        </w:rPr>
        <w:t xml:space="preserve">ـ </w:t>
      </w:r>
      <w:r w:rsidRPr="000951F0">
        <w:rPr>
          <w:rFonts w:asciiTheme="majorBidi" w:eastAsia="Times New Roman" w:hAnsiTheme="majorBidi" w:cs="Times New Roman"/>
          <w:sz w:val="32"/>
          <w:szCs w:val="32"/>
          <w:rtl/>
          <w:lang w:bidi="ar-BH"/>
        </w:rPr>
        <w:t>33307</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900 دنانير منتهيا لتأييد حكم محكمة أول درجة لأسبابه وهو موضوع يغاير وقائع الحكم المستأنف الذي يدور الخلاف بين طرفيه حول طلب المطعون ضدها إحالة الدعو</w:t>
      </w:r>
      <w:r w:rsidRPr="000951F0">
        <w:rPr>
          <w:rFonts w:asciiTheme="majorBidi" w:eastAsia="Times New Roman" w:hAnsiTheme="majorBidi" w:cs="Times New Roman" w:hint="cs"/>
          <w:sz w:val="32"/>
          <w:szCs w:val="32"/>
          <w:rtl/>
          <w:lang w:bidi="ar-BH"/>
        </w:rPr>
        <w:t>ى 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 xml:space="preserve">ى </w:t>
      </w:r>
      <w:r w:rsidRPr="000951F0">
        <w:rPr>
          <w:rFonts w:asciiTheme="majorBidi" w:eastAsia="Times New Roman" w:hAnsiTheme="majorBidi" w:cs="Times New Roman"/>
          <w:sz w:val="32"/>
          <w:szCs w:val="32"/>
          <w:rtl/>
          <w:lang w:bidi="ar-BH"/>
        </w:rPr>
        <w:t xml:space="preserve">خبير محاسبي لاحتساب الأضرار التي لحقتها وإلزام الطاعن أن يؤدي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ها مبلغ 5100 دينار تأسيسا على حصولها على حكم من المحكمة الكبرى المدنية في الدعوى رقم 374 لسنة 2011 بطلاقها من الطاعن وال</w:t>
      </w:r>
      <w:r w:rsidRPr="000951F0">
        <w:rPr>
          <w:rFonts w:asciiTheme="majorBidi" w:eastAsia="Times New Roman" w:hAnsiTheme="majorBidi" w:cs="Times New Roman" w:hint="cs"/>
          <w:sz w:val="32"/>
          <w:szCs w:val="32"/>
          <w:rtl/>
          <w:lang w:bidi="ar-BH"/>
        </w:rPr>
        <w:t>ذ</w:t>
      </w:r>
      <w:r w:rsidRPr="000951F0">
        <w:rPr>
          <w:rFonts w:asciiTheme="majorBidi" w:eastAsia="Times New Roman" w:hAnsiTheme="majorBidi" w:cs="Times New Roman"/>
          <w:sz w:val="32"/>
          <w:szCs w:val="32"/>
          <w:rtl/>
          <w:lang w:bidi="ar-BH"/>
        </w:rPr>
        <w:t xml:space="preserve">ي تزوجته بموجب عقد زواج مؤرخ 27/12/2007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الكنيسة بالمنامة طبقا للديانة المسيحية – المذهب الكاثوليكي الروماني، و</w:t>
      </w:r>
      <w:r w:rsidRPr="000951F0">
        <w:rPr>
          <w:rFonts w:asciiTheme="majorBidi" w:eastAsia="Times New Roman" w:hAnsiTheme="majorBidi" w:cs="Times New Roman" w:hint="cs"/>
          <w:sz w:val="32"/>
          <w:szCs w:val="32"/>
          <w:rtl/>
          <w:lang w:bidi="ar-BH"/>
        </w:rPr>
        <w:t>تس</w:t>
      </w:r>
      <w:r w:rsidRPr="000951F0">
        <w:rPr>
          <w:rFonts w:asciiTheme="majorBidi" w:eastAsia="Times New Roman" w:hAnsiTheme="majorBidi" w:cs="Times New Roman"/>
          <w:sz w:val="32"/>
          <w:szCs w:val="32"/>
          <w:rtl/>
          <w:lang w:bidi="ar-BH"/>
        </w:rPr>
        <w:t xml:space="preserve">لمها منه رسالة باقترافه جريمة الزنى وعدم رغبته في استمرار العلاقة الزوجية وكانت نفقتها واجبة على الطاعن ومن تبعات الطلاق واجابتها محكمة أول درجة لطلبها </w:t>
      </w:r>
      <w:r w:rsidRPr="000951F0">
        <w:rPr>
          <w:rFonts w:asciiTheme="majorBidi" w:eastAsia="Times New Roman" w:hAnsiTheme="majorBidi" w:cs="Times New Roman" w:hint="cs"/>
          <w:sz w:val="32"/>
          <w:szCs w:val="32"/>
          <w:rtl/>
          <w:lang w:bidi="ar-BH"/>
        </w:rPr>
        <w:t>وق</w:t>
      </w:r>
      <w:r w:rsidRPr="000951F0">
        <w:rPr>
          <w:rFonts w:asciiTheme="majorBidi" w:eastAsia="Times New Roman" w:hAnsiTheme="majorBidi" w:cs="Times New Roman"/>
          <w:sz w:val="32"/>
          <w:szCs w:val="32"/>
          <w:rtl/>
          <w:lang w:bidi="ar-BH"/>
        </w:rPr>
        <w:t xml:space="preserve">ضت بإلزام الطاعن بأن يؤدي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ها مبلغ 3750 دينارا كنفقة شهرية ونفقة متعة بالحكم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نها بتاريخ 26/3/2014، مما تكون معه وقائع وطلبات الخصوم في الدعوى المبتدأة مغايرة ومختلفة تماما عما حصلته محكمة الاستئناف في حكمها الذي خلا مما قدمه الخصوم من طلبات وأوجه دفاع أو دفوع وخلاصة ما استندوا إليه من الأدلة الواقعية مخالفا بذلك نص المادة 189 من قانون المرافعات مخالفة تستوجب نقضه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ولا يغير من ذلك إحالة الحكم المطعون فيه إلى حكم محكمة أول درجة إذ إن هذه الإحالة منها وهو بصدد موضوع يغاير واقعة الدعوى الماثلة لا تجد محلا في الحكم المستأنف ومن ثم فإن الحكم يكون قد ران عليه القصور المبطل في أسبابه وهو ما يعجز معه محكمة التمييز عن مراقبة تطبيق صحيح القانون مما يوجب نقضه على أن يكون مع النقض الإحالة.</w:t>
      </w:r>
    </w:p>
    <w:p w:rsidR="008D65A2" w:rsidRPr="00C41633" w:rsidRDefault="008D65A2">
      <w:bookmarkStart w:id="0" w:name="_GoBack"/>
      <w:bookmarkEnd w:id="0"/>
    </w:p>
    <w:sectPr w:rsidR="008D65A2" w:rsidRPr="00C4163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B1E21"/>
    <w:multiLevelType w:val="hybridMultilevel"/>
    <w:tmpl w:val="B1BE4DFC"/>
    <w:lvl w:ilvl="0" w:tplc="258EFF2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BB1"/>
    <w:rsid w:val="0003272B"/>
    <w:rsid w:val="00761BB1"/>
    <w:rsid w:val="008D65A2"/>
    <w:rsid w:val="00C41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33"/>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33"/>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2020-04-22T10:16:00Z</dcterms:created>
  <dcterms:modified xsi:type="dcterms:W3CDTF">2020-04-22T10:16:00Z</dcterms:modified>
</cp:coreProperties>
</file>