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62" w:rsidRPr="000951F0" w:rsidRDefault="00E44462" w:rsidP="00E44462">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25 من ابريل سنة 2017</w:t>
      </w:r>
    </w:p>
    <w:p w:rsidR="00E44462" w:rsidRPr="000951F0" w:rsidRDefault="00E44462" w:rsidP="00E4446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المستشار </w:t>
      </w:r>
      <w:r w:rsidRPr="000951F0">
        <w:rPr>
          <w:rFonts w:asciiTheme="majorBidi" w:eastAsia="Times New Roman" w:hAnsiTheme="majorBidi" w:cs="Times New Roman" w:hint="cs"/>
          <w:sz w:val="32"/>
          <w:szCs w:val="32"/>
          <w:rtl/>
          <w:lang w:bidi="ar-BH"/>
        </w:rPr>
        <w:t>د.</w:t>
      </w:r>
      <w:r w:rsidRPr="000951F0">
        <w:rPr>
          <w:rFonts w:asciiTheme="majorBidi" w:eastAsia="Times New Roman" w:hAnsiTheme="majorBidi" w:cs="Times New Roman"/>
          <w:sz w:val="32"/>
          <w:szCs w:val="32"/>
          <w:rtl/>
          <w:lang w:bidi="ar-BH"/>
        </w:rPr>
        <w:t>طه عبدالمول</w:t>
      </w:r>
      <w:r w:rsidRPr="000951F0">
        <w:rPr>
          <w:rFonts w:asciiTheme="majorBidi" w:eastAsia="Times New Roman" w:hAnsiTheme="majorBidi" w:cs="Times New Roman" w:hint="cs"/>
          <w:sz w:val="32"/>
          <w:szCs w:val="32"/>
          <w:rtl/>
          <w:lang w:bidi="ar-BH"/>
        </w:rPr>
        <w:t>ى</w:t>
      </w:r>
      <w:r w:rsidRPr="000951F0">
        <w:rPr>
          <w:rFonts w:asciiTheme="majorBidi" w:eastAsia="Times New Roman" w:hAnsiTheme="majorBidi" w:cs="Times New Roman"/>
          <w:sz w:val="32"/>
          <w:szCs w:val="32"/>
          <w:rtl/>
          <w:lang w:bidi="ar-BH"/>
        </w:rPr>
        <w:t xml:space="preserve"> طه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نادر السيد علي عبدالمطلب،إبراهيم محمد المرصفاوي ،عدنان عبدالله الشيخ هزيم الشامسي</w:t>
      </w:r>
    </w:p>
    <w:p w:rsidR="00E44462" w:rsidRPr="000951F0" w:rsidRDefault="00E44462" w:rsidP="00E4446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E44462" w:rsidRPr="000951F0" w:rsidRDefault="00E44462" w:rsidP="00E4446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156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E44462" w:rsidRPr="000951F0" w:rsidRDefault="00E44462" w:rsidP="00E4446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285 لسنة 2015 </w:t>
      </w:r>
    </w:p>
    <w:p w:rsidR="00E44462" w:rsidRPr="000951F0" w:rsidRDefault="00E44462" w:rsidP="00E44462">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(1- 2) اثبات . حكم "عيوب التدليل : مخالفة القانون - الاخلال بحق الدفاع". دفاع. </w:t>
      </w:r>
    </w:p>
    <w:p w:rsidR="00E44462" w:rsidRPr="000951F0" w:rsidRDefault="00E44462" w:rsidP="00E4446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 اعتراف الخصم أمام القضاء بواقعة قانونية 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د</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ع</w:t>
      </w:r>
      <w:r w:rsidRPr="000951F0">
        <w:rPr>
          <w:rFonts w:asciiTheme="majorBidi" w:eastAsia="Times New Roman" w:hAnsiTheme="majorBidi" w:cs="Times New Roman" w:hint="cs"/>
          <w:sz w:val="32"/>
          <w:szCs w:val="32"/>
          <w:rtl/>
          <w:lang w:bidi="ar-BH"/>
        </w:rPr>
        <w:t>اة</w:t>
      </w:r>
      <w:r w:rsidRPr="000951F0">
        <w:rPr>
          <w:rFonts w:asciiTheme="majorBidi" w:eastAsia="Times New Roman" w:hAnsiTheme="majorBidi" w:cs="Times New Roman"/>
          <w:sz w:val="32"/>
          <w:szCs w:val="32"/>
          <w:rtl/>
          <w:lang w:bidi="ar-BH"/>
        </w:rPr>
        <w:t xml:space="preserve"> عليه أثناء السير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المتعلقة بهذه الواقعة . اعتباره اقرارا قضائيا . أثره اعفاء خصمه من إقامة الدليل على تلك الواقعة.</w:t>
      </w:r>
    </w:p>
    <w:p w:rsidR="00E44462" w:rsidRPr="000951F0" w:rsidRDefault="00E44462" w:rsidP="00E4446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تمسك الطاعن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دفاعه أمام محكمة الموضوع بدرجتيها أن عقار النزاع باسم المطعون ضدها قد آل إليها بالهبة من شقيقته وهو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الحقيقة مملوك له وأنه آل إليه بالشراء منها وسدد لها ثمنه كاملا وأنه تم تسجيله ب</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سمها خلافا للحقيقة ودلل على ذلك بما أوردته المطعون ضدها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مذكرة دفاعها أمام محكمة أول درجة ال</w:t>
      </w:r>
      <w:r w:rsidRPr="000951F0">
        <w:rPr>
          <w:rFonts w:asciiTheme="majorBidi" w:eastAsia="Times New Roman" w:hAnsiTheme="majorBidi" w:cs="Times New Roman" w:hint="cs"/>
          <w:sz w:val="32"/>
          <w:szCs w:val="32"/>
          <w:rtl/>
          <w:lang w:bidi="ar-BH"/>
        </w:rPr>
        <w:t>تي</w:t>
      </w:r>
      <w:r w:rsidRPr="000951F0">
        <w:rPr>
          <w:rFonts w:asciiTheme="majorBidi" w:eastAsia="Times New Roman" w:hAnsiTheme="majorBidi" w:cs="Times New Roman"/>
          <w:sz w:val="32"/>
          <w:szCs w:val="32"/>
          <w:rtl/>
          <w:lang w:bidi="ar-BH"/>
        </w:rPr>
        <w:t xml:space="preserve"> تقر فيه</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صراحة </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rtl/>
          <w:lang w:bidi="ar-BH"/>
        </w:rPr>
        <w:t>أنها لا تملك عقار النزاع وأنه المالك الحقيق</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له وطلب من المحكمة تمكينه من اثبات صورية عقد الهبة بإحالة الدعوى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لتحقيق . قضاء الحكم المطعون برفض طلبه تأسيسا على أنه ضمن الطلبات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يستلزم التأشير بها لدى سجلات التسجيل العقار</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مخالفة وإخلال. </w:t>
      </w:r>
    </w:p>
    <w:p w:rsidR="00E44462" w:rsidRPr="000951F0" w:rsidRDefault="00E44462" w:rsidP="00E4446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E44462" w:rsidRPr="000951F0" w:rsidRDefault="00E44462" w:rsidP="00E44462">
      <w:pPr>
        <w:tabs>
          <w:tab w:val="left" w:pos="2745"/>
        </w:tabs>
        <w:spacing w:after="0" w:line="360" w:lineRule="auto"/>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r>
    </w:p>
    <w:p w:rsidR="00E44462" w:rsidRPr="000951F0" w:rsidRDefault="00E44462" w:rsidP="00E44462">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أن اعتراف الخصم أمام القضاء بواقعة قانونية 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د</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ع</w:t>
      </w:r>
      <w:r w:rsidRPr="000951F0">
        <w:rPr>
          <w:rFonts w:asciiTheme="majorBidi" w:eastAsia="Times New Roman" w:hAnsiTheme="majorBidi" w:cs="Times New Roman" w:hint="cs"/>
          <w:sz w:val="32"/>
          <w:szCs w:val="32"/>
          <w:rtl/>
          <w:lang w:bidi="ar-BH"/>
        </w:rPr>
        <w:t>اة</w:t>
      </w:r>
      <w:r w:rsidRPr="000951F0">
        <w:rPr>
          <w:rFonts w:asciiTheme="majorBidi" w:eastAsia="Times New Roman" w:hAnsiTheme="majorBidi" w:cs="Times New Roman"/>
          <w:sz w:val="32"/>
          <w:szCs w:val="32"/>
          <w:rtl/>
          <w:lang w:bidi="ar-BH"/>
        </w:rPr>
        <w:t xml:space="preserve"> عليه أثناء السير في الدعوى المتعلقة بهذه الواقعة، يعد إقرارا قضائيا ينبني عليه إعفاء خصمه من إقامة الدليل على تلك الواقعة.</w:t>
      </w:r>
    </w:p>
    <w:p w:rsidR="00E44462" w:rsidRPr="000951F0" w:rsidRDefault="00E44462" w:rsidP="00E44462">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lastRenderedPageBreak/>
        <w:t xml:space="preserve">إذ كان الثابت أن مما جرى به دفاع الطاعن أمام محكمة الموضوع بدرجتيها أن عقار النزاع المسجل باسم المطعون ضدها – حال قيام علاقة الزوجية بينهما – على أنها الموهوب لها به وقد آل إليها بالهبة من شقيقته هو في الحقيقة مملوك له وأنه آل إليه بالشراء من شقيقته وسدد لها ثمنه كاملا إلا أنه تم تسجيله باسمها خلافا للحقيقة، ودلل على ذلك بما أوردته المطعون ضدها في مذكرة دفاعها المقدمة أمام محكمة أول درجة التي تقر فيها صراحة بأنها لا تملك عقار النزاع وأن الطاعن هو المالك الحقيقي له وطلب </w:t>
      </w:r>
      <w:r w:rsidRPr="000951F0">
        <w:rPr>
          <w:rFonts w:asciiTheme="majorBidi" w:eastAsia="Times New Roman" w:hAnsiTheme="majorBidi" w:cs="Times New Roman" w:hint="cs"/>
          <w:sz w:val="32"/>
          <w:szCs w:val="32"/>
          <w:rtl/>
          <w:lang w:bidi="ar-BH"/>
        </w:rPr>
        <w:t>إلى</w:t>
      </w:r>
      <w:r w:rsidRPr="000951F0">
        <w:rPr>
          <w:rFonts w:asciiTheme="majorBidi" w:eastAsia="Times New Roman" w:hAnsiTheme="majorBidi" w:cs="Times New Roman"/>
          <w:sz w:val="32"/>
          <w:szCs w:val="32"/>
          <w:rtl/>
          <w:lang w:bidi="ar-BH"/>
        </w:rPr>
        <w:t xml:space="preserve"> المحكمة تمكينه من إثبات صورية عقد الهبة سند ملكية المطعون ضدها للعقار المذكور بإحالة الدعوى إلى التحقيق باعتباره من الغير ويجوز له إثبات الصورية بطرق الإثبات القانونية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كافة، فإن الحكم المطعون فيه إذ رفض هذا الطلب لما ذهب إليه من أنه يندرج ضمن الطلبات التي تستلزم التأشير بها لدى سجلات التسجيل العقاري، مع أن ما تمسك به لا يعدو أن يكون دفاعا أجازه له القانون، وليس طلبا </w:t>
      </w:r>
      <w:r w:rsidRPr="000951F0">
        <w:rPr>
          <w:rFonts w:asciiTheme="majorBidi" w:eastAsia="Times New Roman" w:hAnsiTheme="majorBidi" w:cs="Times New Roman" w:hint="cs"/>
          <w:sz w:val="32"/>
          <w:szCs w:val="32"/>
          <w:rtl/>
          <w:lang w:bidi="ar-BH"/>
        </w:rPr>
        <w:t>إلى</w:t>
      </w:r>
      <w:r w:rsidRPr="000951F0">
        <w:rPr>
          <w:rFonts w:asciiTheme="majorBidi" w:eastAsia="Times New Roman" w:hAnsiTheme="majorBidi" w:cs="Times New Roman"/>
          <w:sz w:val="32"/>
          <w:szCs w:val="32"/>
          <w:rtl/>
          <w:lang w:bidi="ar-BH"/>
        </w:rPr>
        <w:t xml:space="preserve"> المحكمة للقضاء به، فلا يلزم التأشير به في تلك السجلات ولا يخضع للقيد الوارد في المادة 20 من قانون التسجيل العقاري رقم 13 لسنة 2013، فإنه إذ أمسك عن تحقيق دفاع الطاعن، يكون فضلا عن مخالفته القانون، قد أخل بحقه في الدفاع .</w:t>
      </w:r>
    </w:p>
    <w:p w:rsidR="00E44462" w:rsidRPr="000951F0" w:rsidRDefault="00E44462" w:rsidP="00E44462">
      <w:pPr>
        <w:tabs>
          <w:tab w:val="left" w:pos="3013"/>
          <w:tab w:val="center" w:pos="4421"/>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E44462" w:rsidRPr="000951F0" w:rsidRDefault="00E44462" w:rsidP="00E44462">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E44462" w:rsidRPr="000951F0" w:rsidRDefault="00E44462" w:rsidP="00E44462">
      <w:pPr>
        <w:tabs>
          <w:tab w:val="left" w:pos="1785"/>
          <w:tab w:val="left" w:pos="1852"/>
          <w:tab w:val="center" w:pos="4061"/>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المحكمــة</w:t>
      </w:r>
    </w:p>
    <w:p w:rsidR="00E44462" w:rsidRPr="000951F0" w:rsidRDefault="00E44462" w:rsidP="00E44462">
      <w:pPr>
        <w:tabs>
          <w:tab w:val="left" w:pos="3608"/>
        </w:tabs>
        <w:spacing w:after="0" w:line="360" w:lineRule="auto"/>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ab/>
      </w:r>
    </w:p>
    <w:p w:rsidR="00E44462" w:rsidRPr="000951F0" w:rsidRDefault="00E44462" w:rsidP="00E4446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بعد الاطلاع على الأوراق، وسماع التقرير الذي تلاه القاضي المقرر، وبعد المداولة.</w:t>
      </w:r>
    </w:p>
    <w:p w:rsidR="00E44462" w:rsidRPr="000951F0" w:rsidRDefault="00E44462" w:rsidP="00E4446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حيث إن الطعن استوفى أوضاعه الشكلية.</w:t>
      </w:r>
    </w:p>
    <w:p w:rsidR="00E44462" w:rsidRPr="000951F0" w:rsidRDefault="00E44462" w:rsidP="00E44462">
      <w:pPr>
        <w:tabs>
          <w:tab w:val="left" w:pos="964"/>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E44462" w:rsidRPr="000951F0" w:rsidRDefault="00E44462" w:rsidP="00E4446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الوقائع</w:t>
      </w:r>
      <w:r w:rsidRPr="000951F0">
        <w:rPr>
          <w:rFonts w:asciiTheme="majorBidi" w:eastAsia="Times New Roman" w:hAnsiTheme="majorBidi" w:cs="Times New Roman"/>
          <w:sz w:val="32"/>
          <w:szCs w:val="32"/>
          <w:lang w:bidi="ar-BH"/>
        </w:rPr>
        <w:t xml:space="preserve">- </w:t>
      </w:r>
      <w:r w:rsidRPr="000951F0">
        <w:rPr>
          <w:rFonts w:asciiTheme="majorBidi" w:eastAsia="Times New Roman" w:hAnsiTheme="majorBidi" w:cs="Times New Roman"/>
          <w:sz w:val="32"/>
          <w:szCs w:val="32"/>
          <w:rtl/>
          <w:lang w:bidi="ar-BH"/>
        </w:rPr>
        <w:t xml:space="preserve"> كما يبين من الحكم المطعون فيه وسائر الأوراق - تتحصل في أن المطعون ضدها تقدمت بطلب إلى قاضي الأداء لاستصدار أمر بإلزام الطاعن بأن يؤدي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ها مبلغ 125,000 دينار وهو ثمن العقار الذي تمتلكه والمبين باللائحة وقام بالتصرف فيه بالبيع استنادا إلى الوكالة التي أصدرتها له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أن يرد لها ثمن المبيع. امتنع القاضي عن إصدار الأمر وحدد جلسة لنظر الموضوع وقيد لدى المحكمة الكبرى المدنية بالدعوى رقم 14516 لسنة 2012. جرى دفاع الطاعن بأنه هو من اشترى العقار من ماله الخاص من شقيقته وسدد لها ثمنه كاملا غير أنها قامت بنقل ملكيته بطريق الهبة إلى المطعون ضدها باعتباره أنه المالك الحقيقي له وطلب </w:t>
      </w:r>
      <w:r w:rsidRPr="000951F0">
        <w:rPr>
          <w:rFonts w:asciiTheme="majorBidi" w:eastAsia="Times New Roman" w:hAnsiTheme="majorBidi" w:cs="Times New Roman" w:hint="cs"/>
          <w:sz w:val="32"/>
          <w:szCs w:val="32"/>
          <w:rtl/>
          <w:lang w:bidi="ar-BH"/>
        </w:rPr>
        <w:t>إلى</w:t>
      </w:r>
      <w:r w:rsidRPr="000951F0">
        <w:rPr>
          <w:rFonts w:asciiTheme="majorBidi" w:eastAsia="Times New Roman" w:hAnsiTheme="majorBidi" w:cs="Times New Roman"/>
          <w:sz w:val="32"/>
          <w:szCs w:val="32"/>
          <w:rtl/>
          <w:lang w:bidi="ar-BH"/>
        </w:rPr>
        <w:t xml:space="preserve"> المحكمة تمكينه من إثبات ذلك وقد أقرت أمام محكمة أول درجة بأنها ليست المالكة للعقار. حكمت المحكمة بإلزام الطاعن بأن يؤدي إلى المطعون ضدها مبلغ 70,000 دينار ورفضت ماعدا ذلك من طلبات، استأنف الطاعن هذا الحكم بالاستئناف رقم 717 لسنة 2014 كما استأنفته المطعون ضدها بالاستئناف رقم 895 لسنة 2014 أمام محكمة الاستئناف العليا المدنية التي ضمت الاستئنافين للارتباط ثم قضت برفضهما وتأييد الحكم المستأنف.</w:t>
      </w:r>
    </w:p>
    <w:p w:rsidR="00E44462" w:rsidRPr="000951F0" w:rsidRDefault="00E44462" w:rsidP="00E4446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طعن الطاعن في هذا الحكم بطريق التمييز وقدم المكتب الفني مذكرة برأيه في الطعن.</w:t>
      </w:r>
    </w:p>
    <w:p w:rsidR="00E44462" w:rsidRPr="000951F0" w:rsidRDefault="00E44462" w:rsidP="00E4446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مما ينعاه الطاعن على الحكم المطعون فيه مخالفة القانون والخطأ في تطبيقه والإخلال بحق الدفاع، ذلك أنه ألزمه بالمبلغ المحكوم به باعتباره ثمن بيع عقار المطعون ضدها بالوكالة التي أصدرتها له ولم يسدد لها قيمته مع أن الثابت أنها أقرت بدفاعها أمام محكمة أول درجة بعدم ملكيتها للعقار وأن الطاعن هو المالك له بشرائه من شقيقته وأوفى لها ثمنه ثم قام بتسجيله باسمها تهربا من رسوم الدلالة، وقد طلب إحالة الدعوى إلى التحقيق لإثبات صورية عقد الهبة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شقيقته للمطعون ضدها وأنه المالك الحقيقي للعقار وقد سدد ثمنه كاملا لشقيقته إلا أن الحكم المطعون فيه رفض إجابته إلى طلبه قولا منه إن الطاعن لم يقدم إلى المحكمة ما يفيد التأشير في سجلات إدارة التسجيل العقاري بمضمون هذا الطلب فيكون غير مقبول، مع أن ما تمسك به هو مجرد دفاع في الدعوى لا يخضع للقيد الوارد في قانون التسجيل العقاري ولا يستلزم التأشير به وهو ما يعيبه ويستوجب نقضه.</w:t>
      </w:r>
    </w:p>
    <w:p w:rsidR="008D65A2" w:rsidRDefault="00E44462" w:rsidP="00E44462">
      <w:r w:rsidRPr="000951F0">
        <w:rPr>
          <w:rFonts w:asciiTheme="majorBidi" w:eastAsia="Times New Roman" w:hAnsiTheme="majorBidi" w:cs="Times New Roman"/>
          <w:sz w:val="32"/>
          <w:szCs w:val="32"/>
          <w:rtl/>
          <w:lang w:bidi="ar-BH"/>
        </w:rPr>
        <w:tab/>
        <w:t>وحيث ان هذا النعي في محله، ذلك أن اعتراف الخصم أمام القضاء بواقعة قانونية 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د</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ع</w:t>
      </w:r>
      <w:r w:rsidRPr="000951F0">
        <w:rPr>
          <w:rFonts w:asciiTheme="majorBidi" w:eastAsia="Times New Roman" w:hAnsiTheme="majorBidi" w:cs="Times New Roman" w:hint="cs"/>
          <w:sz w:val="32"/>
          <w:szCs w:val="32"/>
          <w:rtl/>
          <w:lang w:bidi="ar-BH"/>
        </w:rPr>
        <w:t xml:space="preserve">اة </w:t>
      </w:r>
      <w:r w:rsidRPr="000951F0">
        <w:rPr>
          <w:rFonts w:asciiTheme="majorBidi" w:eastAsia="Times New Roman" w:hAnsiTheme="majorBidi" w:cs="Times New Roman"/>
          <w:sz w:val="32"/>
          <w:szCs w:val="32"/>
          <w:rtl/>
          <w:lang w:bidi="ar-BH"/>
        </w:rPr>
        <w:t>عليه أثناء السير في الدعوى المتعلقة بهذه الواقعة، يعد إقرارا قضائيا ينبني عليه إعفاء خصمه من إقامة الدليل على تلك الواقع</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لما كان ذلك وكان الثابت أن مما جرى به دفاع الطاعن أمام محكمة الموضوع بدرجتيها أن عقار النزاع المسجل باسم المطعون ضدها – حال قيام علاقة الزوجية بينهما – على أنها الموهوب لها به وقد آل إليها بالهبة من شقيقته هو في الحقيقة مملوك له وأنه آل إليه بالشراء من شقيقته وسدد لها ثمنه كاملا إلا أنه تم تسجيله باسمها خلافا للحقيقة، ودلل على ذلك بما أوردته المطعون ضدها في مذكرة دفاعها المقدمة أمام محكمة أول درجة التي تقر فيها صراحة بأنها لا تملك عقار النزاع وأن الطاعن هو المالك الحقيقي له وطلب </w:t>
      </w:r>
      <w:r w:rsidRPr="000951F0">
        <w:rPr>
          <w:rFonts w:asciiTheme="majorBidi" w:eastAsia="Times New Roman" w:hAnsiTheme="majorBidi" w:cs="Times New Roman" w:hint="cs"/>
          <w:sz w:val="32"/>
          <w:szCs w:val="32"/>
          <w:rtl/>
          <w:lang w:bidi="ar-BH"/>
        </w:rPr>
        <w:t>إلى</w:t>
      </w:r>
      <w:r w:rsidRPr="000951F0">
        <w:rPr>
          <w:rFonts w:asciiTheme="majorBidi" w:eastAsia="Times New Roman" w:hAnsiTheme="majorBidi" w:cs="Times New Roman"/>
          <w:sz w:val="32"/>
          <w:szCs w:val="32"/>
          <w:rtl/>
          <w:lang w:bidi="ar-BH"/>
        </w:rPr>
        <w:t xml:space="preserve"> المحكمة تمكينه من إثبات صورية عقد الهبة سند ملكية المطعون ضدها للعقار المذكور بإحالة الدعوى إلى التحقيق باعتباره من الغير ويجوز له إثبات الصورية بطرق الإثبات القانونية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كافة، فإن الحكم المطعون فيه إذ رفض هذا الطلب لما ذهب إليه من أنه يندرج ضمن الطلبات التي تستلزم التأشير بها لدى سجلات التسجيل العقاري، مع أن ما تمسك به لا يعدو أن يكون دفاعا أجازه له القانون، وليس طلبا </w:t>
      </w:r>
      <w:r w:rsidRPr="000951F0">
        <w:rPr>
          <w:rFonts w:asciiTheme="majorBidi" w:eastAsia="Times New Roman" w:hAnsiTheme="majorBidi" w:cs="Times New Roman" w:hint="cs"/>
          <w:sz w:val="32"/>
          <w:szCs w:val="32"/>
          <w:rtl/>
          <w:lang w:bidi="ar-BH"/>
        </w:rPr>
        <w:t>إلى</w:t>
      </w:r>
      <w:r w:rsidRPr="000951F0">
        <w:rPr>
          <w:rFonts w:asciiTheme="majorBidi" w:eastAsia="Times New Roman" w:hAnsiTheme="majorBidi" w:cs="Times New Roman"/>
          <w:sz w:val="32"/>
          <w:szCs w:val="32"/>
          <w:rtl/>
          <w:lang w:bidi="ar-BH"/>
        </w:rPr>
        <w:t xml:space="preserve"> المحكمة للقضاء به، فلا يلزم التأشير به في تلك السجلات ولا يخضع بالتالي للقيد الوارد في المادة 20 من قانون التسجيل العقاري رقم 13 لسنة 2013، فإنه إذ أمسك عن تحقيق دفاع الطاعن، يكون فضلا عن مخالفته القانون، قد أخل بحقه في الدفاع، مما يعيبه ويوجب نقضه على أن يكون مع النقض الإحالة.</w:t>
      </w:r>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4623C"/>
    <w:multiLevelType w:val="hybridMultilevel"/>
    <w:tmpl w:val="CB6C7C68"/>
    <w:lvl w:ilvl="0" w:tplc="596872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1A"/>
    <w:rsid w:val="0003272B"/>
    <w:rsid w:val="0034051A"/>
    <w:rsid w:val="008D65A2"/>
    <w:rsid w:val="00E444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62"/>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62"/>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2020-04-22T10:17:00Z</dcterms:created>
  <dcterms:modified xsi:type="dcterms:W3CDTF">2020-04-22T10:18:00Z</dcterms:modified>
</cp:coreProperties>
</file>