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970" w:rsidRPr="00E060C7" w:rsidRDefault="00AB7970" w:rsidP="00AB7970">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31 من </w:t>
      </w:r>
      <w:r w:rsidRPr="00E060C7">
        <w:rPr>
          <w:rFonts w:asciiTheme="majorBidi" w:hAnsiTheme="majorBidi" w:cstheme="majorBidi"/>
          <w:b/>
          <w:bCs/>
          <w:sz w:val="32"/>
          <w:szCs w:val="32"/>
          <w:rtl/>
        </w:rPr>
        <w:t>ديسمبر</w:t>
      </w:r>
      <w:r w:rsidRPr="00E060C7">
        <w:rPr>
          <w:rFonts w:asciiTheme="majorBidi" w:hAnsiTheme="majorBidi" w:cstheme="majorBidi"/>
          <w:b/>
          <w:bCs/>
          <w:sz w:val="32"/>
          <w:szCs w:val="32"/>
          <w:rtl/>
          <w:lang w:bidi="ar-BH"/>
        </w:rPr>
        <w:t xml:space="preserve"> سنة 2017</w:t>
      </w:r>
    </w:p>
    <w:p w:rsidR="00AB7970" w:rsidRPr="00E060C7" w:rsidRDefault="00AB7970" w:rsidP="00AB7970">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المستشار عبدالله بن حسن البوعنين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وعضوية المستشارين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علي يوسف منصور ، معصومة عبدالرسول عيسى، نادر السيد علي عبدالمطلب ، عبدالله يعقوب عبدالرحمن </w:t>
      </w:r>
    </w:p>
    <w:p w:rsidR="00AB7970" w:rsidRPr="00E060C7" w:rsidRDefault="00AB7970" w:rsidP="00AB7970">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B7970" w:rsidRPr="00E060C7" w:rsidRDefault="00AB7970" w:rsidP="00AB7970">
      <w:pPr>
        <w:tabs>
          <w:tab w:val="center" w:pos="3817"/>
          <w:tab w:val="left" w:pos="5319"/>
        </w:tabs>
        <w:bidi/>
        <w:spacing w:after="0" w:line="360" w:lineRule="auto"/>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ab/>
      </w:r>
    </w:p>
    <w:p w:rsidR="00AB7970" w:rsidRPr="00E060C7" w:rsidRDefault="00AB7970" w:rsidP="00AB7970">
      <w:pPr>
        <w:tabs>
          <w:tab w:val="center" w:pos="3817"/>
          <w:tab w:val="left" w:pos="5319"/>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142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AB7970" w:rsidRPr="00E060C7" w:rsidRDefault="00AB7970" w:rsidP="00AB7970">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304 لسنة 2016 </w:t>
      </w:r>
    </w:p>
    <w:p w:rsidR="00AB7970" w:rsidRPr="00E060C7" w:rsidRDefault="00AB7970" w:rsidP="00AB7970">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 (1 </w:t>
      </w:r>
      <w:r w:rsidRPr="00E060C7">
        <w:rPr>
          <w:rFonts w:asciiTheme="majorBidi" w:hAnsiTheme="majorBidi" w:cstheme="majorBidi" w:hint="cs"/>
          <w:b/>
          <w:bCs/>
          <w:sz w:val="32"/>
          <w:szCs w:val="32"/>
          <w:u w:val="single"/>
          <w:rtl/>
          <w:lang w:bidi="ar-BH"/>
        </w:rPr>
        <w:t>-</w:t>
      </w:r>
      <w:r w:rsidRPr="00E060C7">
        <w:rPr>
          <w:rFonts w:asciiTheme="majorBidi" w:hAnsiTheme="majorBidi" w:cstheme="majorBidi"/>
          <w:b/>
          <w:bCs/>
          <w:sz w:val="32"/>
          <w:szCs w:val="32"/>
          <w:u w:val="single"/>
          <w:rtl/>
          <w:lang w:bidi="ar-BH"/>
        </w:rPr>
        <w:t xml:space="preserve"> 2) بيع. تسجيل. عقد. ملكية.</w:t>
      </w:r>
    </w:p>
    <w:p w:rsidR="00AB7970" w:rsidRPr="00E060C7" w:rsidRDefault="00AB7970" w:rsidP="00AB7970">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(1) السيارة. منقول معين بذاته. مقتضى ذلك</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انتقال ملكيتها بمجرد العقد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دون حاجة إلى أي إجراء آخر. المادتان 389 ، 858 مدني. عدم الإخلال بقواعد التسجيل. ماهيتها. م 11 من المرسوم بق 9 لسنة 1979.</w:t>
      </w:r>
    </w:p>
    <w:p w:rsidR="00AB7970" w:rsidRPr="00E060C7" w:rsidRDefault="00AB7970" w:rsidP="00AB7970">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(2) التزام المالك السابق للسيارة بنقل ملكيتها لآخر. إجراءاته. المواد 13 ، 14 ، 23 من المرسوم بق 9 لسنة 1979.</w:t>
      </w:r>
    </w:p>
    <w:p w:rsidR="00AB7970" w:rsidRPr="00E060C7" w:rsidRDefault="00AB7970" w:rsidP="00AB7970">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AB7970" w:rsidRPr="00E060C7" w:rsidRDefault="00AB7970" w:rsidP="00AB7970">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1- السيارة منقولا معنيا بذاته يترتب على بيعها انتقال ملكيتها إلى المشتري بمجرد العقد وفور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برامه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 xml:space="preserve">دون حاجة إلى أي إجراء آخر وفقا لنص المادتين 389 ، 858 من القانون المدني ما لم يوجد نص قانوني أو اتفاق يقضي بغير ذلك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دون إخلال بقواعد التسجيل التي نصت المادة 11 من المرسوم بقانون رقم 9 لسنة 1979 أن يشترط لتسجيل المركبة تسديد الرسم المقرر للتسجيل والتأمين من المسئولية المدنية الناشئة عن حوادث المركبة مدة تسجيلها لدى</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إحدى شركات التأمين... فضلا عن استيفاء المركبة شروط المتان</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والأمن المحددة بقرار وزير الداخلية وأن تقوم إدارة المرور بفحص المركبة فنيا... بعد سداد الرسم المقرر للفحص . </w:t>
      </w:r>
    </w:p>
    <w:p w:rsidR="00AB7970" w:rsidRPr="00E060C7" w:rsidRDefault="00AB7970" w:rsidP="00AB7970">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lastRenderedPageBreak/>
        <w:t>2- م</w:t>
      </w:r>
      <w:r w:rsidRPr="00E060C7">
        <w:rPr>
          <w:rFonts w:asciiTheme="majorBidi" w:hAnsiTheme="majorBidi" w:cstheme="majorBidi" w:hint="cs"/>
          <w:sz w:val="32"/>
          <w:szCs w:val="32"/>
          <w:rtl/>
          <w:lang w:bidi="ar-BH"/>
        </w:rPr>
        <w:t>فا</w:t>
      </w:r>
      <w:r w:rsidRPr="00E060C7">
        <w:rPr>
          <w:rFonts w:asciiTheme="majorBidi" w:hAnsiTheme="majorBidi" w:cstheme="majorBidi"/>
          <w:sz w:val="32"/>
          <w:szCs w:val="32"/>
          <w:rtl/>
          <w:lang w:bidi="ar-BH"/>
        </w:rPr>
        <w:t>د</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نصوص المواد 13 ، 14 ، 23 من قانون المرور الصادر بالمرسوم بقانون رقم 9 لسنة 1979 أن التزام المالك السابق للسيارة بإخطار إدارة المرور والترخيص بنقل ملكيتها لآخر الذي عليه أن يتقدم بطلب نقل التسجيل باسمه على أن يتم الإخطار واستيفاء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جراءات خلال ثلاثين يوما من اليوم التالي لتاريخ السند المثبت لنقل الملكية وإلا اعتبرت شهادة التسجيل ملغاة من اليوم التالي لانتهاء هذه المدة </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وهو ما يتطلب بداهة أن تكون شهادة تسجيل المالك السابق أو تجديدها لم تنته مدة صلاحيتها والمقرر سريانها بمدة عام من تاريخ إصدارها . </w:t>
      </w:r>
    </w:p>
    <w:p w:rsidR="00AB7970" w:rsidRPr="00E060C7" w:rsidRDefault="00AB7970" w:rsidP="00AB7970">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AB7970" w:rsidRPr="00E060C7" w:rsidRDefault="00AB7970" w:rsidP="00AB7970">
      <w:pPr>
        <w:tabs>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AB7970" w:rsidRPr="00E060C7" w:rsidRDefault="00AB7970" w:rsidP="00AB7970">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AB7970" w:rsidRPr="00E060C7" w:rsidRDefault="00AB7970" w:rsidP="00AB7970">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حيث إن الطعن استوفى أوضاعه الشكلية.</w:t>
      </w:r>
    </w:p>
    <w:p w:rsidR="00AB7970" w:rsidRPr="00E060C7" w:rsidRDefault="00AB7970" w:rsidP="00AB7970">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وحيث إن الوقائع – على ما يبين من الحكم المطعون فيه وسائر الأوراق – تتحصل في أن الطاعن أقام الدعوى رقم 7225 لسنة 2011 أمام المحكمة الكبرى المدنية على المطعون ضدهم بطلبات ختامية هي إلزام المطعون ضدها الثانية في مواجهة باقي المطعون ضدهم بتسجيل ونقل ملكية السيارة مح</w:t>
      </w:r>
      <w:r w:rsidRPr="00E060C7">
        <w:rPr>
          <w:rFonts w:asciiTheme="majorBidi" w:hAnsiTheme="majorBidi" w:cstheme="majorBidi" w:hint="cs"/>
          <w:sz w:val="32"/>
          <w:szCs w:val="32"/>
          <w:rtl/>
          <w:lang w:bidi="ar-BH"/>
        </w:rPr>
        <w:t>ل</w:t>
      </w:r>
      <w:r w:rsidRPr="00E060C7">
        <w:rPr>
          <w:rFonts w:asciiTheme="majorBidi" w:hAnsiTheme="majorBidi" w:cstheme="majorBidi"/>
          <w:sz w:val="32"/>
          <w:szCs w:val="32"/>
          <w:rtl/>
          <w:lang w:bidi="ar-BH"/>
        </w:rPr>
        <w:t xml:space="preserve"> التداعي باسمه وبإلزام المطعون ضدهم عدا الثانية بأن يؤدوا مبلغ 3555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مقابل رسوم إبقاء السيارة في الكراج منذ يناير سنة 2010 حتى مارس سنة 2013 ومبلغ 2445 دينار</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كتعويض عما أصابه من أضرار مادية ومعنوية عن عدم تنفيذ التزاماتهم بنقل ملكية السيارة باسمه وتسليمه الأوراق والمستندات المتعلقة بالبيع</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وقال شرحا لدعواه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 السيارة محل التداعي كانت مملوكة للمطعون ضدهما الأخيرتين اللتين تنازلتا عنها للمطعون ضدها الأولى بعد تعرضها لحادث وقبض قيمة التأمين التعويض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منها فقام بشرائها من الأخيرة بعد رسو المزاد عليه وقام بإصلاح السيارة صالحة للاستعمال حتى يتمكن من تسجيلها باسمه إلا أن المطعون ضدهم امتنعوا عن تسليمه الوثائق والمستندات المتعلقة بالبيع</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حكمت المحكمة برفض الدعوى بحكم استأنفه الطاعن لدى محكمة الاستئناف العليا المدنية بالاستئناف رقم 4122 لسنة 2014 وفيه قضت برفضه وتأييد الحكم المستأنف، </w:t>
      </w:r>
      <w:r w:rsidRPr="00E060C7">
        <w:rPr>
          <w:rFonts w:asciiTheme="majorBidi" w:hAnsiTheme="majorBidi" w:cstheme="majorBidi" w:hint="cs"/>
          <w:sz w:val="32"/>
          <w:szCs w:val="32"/>
          <w:rtl/>
          <w:lang w:bidi="ar-BH"/>
        </w:rPr>
        <w:t>ف</w:t>
      </w:r>
      <w:r w:rsidRPr="00E060C7">
        <w:rPr>
          <w:rFonts w:asciiTheme="majorBidi" w:hAnsiTheme="majorBidi" w:cstheme="majorBidi"/>
          <w:sz w:val="32"/>
          <w:szCs w:val="32"/>
          <w:rtl/>
          <w:lang w:bidi="ar-BH"/>
        </w:rPr>
        <w:t>طعن الطاعن في هذا الحكم بطريق التمييز وقدم المكتب الفني مذكرة برأيه في الطعن.</w:t>
      </w:r>
    </w:p>
    <w:p w:rsidR="00AB7970" w:rsidRPr="00E060C7" w:rsidRDefault="00AB7970" w:rsidP="00AB7970">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وحيث إن الطعن أقيم على ثلاثة أسباب ينعى بها الطاعن على الحكم المطعون فيه مخالفة القانون والخطأ في تطبيقه والقصور في التسبيب والفساد في الاستدلال ومخالفة الثابت بالأوراق حين أقام قضاءه بتأييد الحكم الابتدائي لأسبابه برفض الدعوى على ما استند إليه الحكم الأخير من أنه اشترى السيارتين كحطام وأنه لم يقدم أي دليل على صحة ادعائه شرا</w:t>
      </w:r>
      <w:r w:rsidRPr="00E060C7">
        <w:rPr>
          <w:rFonts w:asciiTheme="majorBidi" w:hAnsiTheme="majorBidi" w:cstheme="majorBidi" w:hint="cs"/>
          <w:sz w:val="32"/>
          <w:szCs w:val="32"/>
          <w:rtl/>
          <w:lang w:bidi="ar-BH"/>
        </w:rPr>
        <w:t>ء</w:t>
      </w:r>
      <w:r w:rsidRPr="00E060C7">
        <w:rPr>
          <w:rFonts w:asciiTheme="majorBidi" w:hAnsiTheme="majorBidi" w:cstheme="majorBidi"/>
          <w:sz w:val="32"/>
          <w:szCs w:val="32"/>
          <w:rtl/>
          <w:lang w:bidi="ar-BH"/>
        </w:rPr>
        <w:t>ه لهما بغرض إعادة تشغيلهما في حين قرر الشهود أن شرا</w:t>
      </w:r>
      <w:r w:rsidRPr="00E060C7">
        <w:rPr>
          <w:rFonts w:asciiTheme="majorBidi" w:hAnsiTheme="majorBidi" w:cstheme="majorBidi" w:hint="cs"/>
          <w:sz w:val="32"/>
          <w:szCs w:val="32"/>
          <w:rtl/>
          <w:lang w:bidi="ar-BH"/>
        </w:rPr>
        <w:t>ء</w:t>
      </w:r>
      <w:r w:rsidRPr="00E060C7">
        <w:rPr>
          <w:rFonts w:asciiTheme="majorBidi" w:hAnsiTheme="majorBidi" w:cstheme="majorBidi"/>
          <w:sz w:val="32"/>
          <w:szCs w:val="32"/>
          <w:rtl/>
          <w:lang w:bidi="ar-BH"/>
        </w:rPr>
        <w:t>ه كان بغرض اصلاحهما وإعادة تشغيلهما وفقا لما جرى عليه العرف وهو ما قرره شاهد المطعون ضدها الأولى وأنه في وقائع سابق</w:t>
      </w:r>
      <w:r w:rsidRPr="00E060C7">
        <w:rPr>
          <w:rFonts w:asciiTheme="majorBidi" w:hAnsiTheme="majorBidi" w:cstheme="majorBidi" w:hint="cs"/>
          <w:sz w:val="32"/>
          <w:szCs w:val="32"/>
          <w:rtl/>
          <w:lang w:bidi="ar-BH"/>
        </w:rPr>
        <w:t xml:space="preserve">ة </w:t>
      </w:r>
      <w:r w:rsidRPr="00E060C7">
        <w:rPr>
          <w:rFonts w:asciiTheme="majorBidi" w:hAnsiTheme="majorBidi" w:cstheme="majorBidi"/>
          <w:sz w:val="32"/>
          <w:szCs w:val="32"/>
          <w:rtl/>
          <w:lang w:bidi="ar-BH"/>
        </w:rPr>
        <w:t>كان يتم تحويل الملكية للمشتري بعد الحصول على إذن المالكة</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الأصلية للسيارة</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كما أن الحكم قضى برفض التعويض عما ك</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بده من نفقات باهظة في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صلاح السيارة وما أصابه من أضرار بسبب امتناع المطعون ضدهن عدا الثانية عن تنفيذ التزامهن بنقل الملكية وتسليمه المستندات المتعلقة بها مما يعيب الحكم ويستوجب نقضه.</w:t>
      </w:r>
    </w:p>
    <w:p w:rsidR="00AB7970" w:rsidRPr="00E060C7" w:rsidRDefault="00AB7970" w:rsidP="00AB7970">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وحيث إن هذا النعي مردود</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أنه لما كانت السيارة منقولا معنيا بذاته يترتب على بيعها انتقال ملكيتها إلى المشتري بمجرد العقد وفور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برامه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دون حاجة إلى أي إجراء آخر وفقا لنص المادتين 389 ، 858 من القانون المدني ما لم يوجد نص قانوني أو اتفاق يقضي بغير ذلك</w:t>
      </w:r>
      <w:r w:rsidRPr="00E060C7">
        <w:rPr>
          <w:rFonts w:asciiTheme="majorBidi" w:hAnsiTheme="majorBidi" w:cstheme="majorBidi" w:hint="cs"/>
          <w:sz w:val="32"/>
          <w:szCs w:val="32"/>
          <w:rtl/>
          <w:lang w:bidi="ar-BH"/>
        </w:rPr>
        <w:t xml:space="preserve"> من</w:t>
      </w:r>
      <w:r w:rsidRPr="00E060C7">
        <w:rPr>
          <w:rFonts w:asciiTheme="majorBidi" w:hAnsiTheme="majorBidi" w:cstheme="majorBidi"/>
          <w:sz w:val="32"/>
          <w:szCs w:val="32"/>
          <w:rtl/>
          <w:lang w:bidi="ar-BH"/>
        </w:rPr>
        <w:t xml:space="preserve"> دون إخلال بقواعد التسجيل التي نصت المادة 11 من المرسوم بقانون رقم 9 لسنة 1979 أن يشترط لتسجيل المركبة تسديد الرسم المقرر للتسجيل والتأمين من المسئولية المدنية الناشئة عن حوادث المركبة مدة تسجيلها لدى إحدى شركات التأمين... فضلا عن استيفاء المركبة شروط المتان</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والأمان المحددة بقرار وزير الداخلية وأن تقوم إدارة المرور بفحص المركبة فنيا... بعد سداد الرسم المقرر للفحص وإذ خلت أوراق الدعوى مما يفيد استيفاء هذه الإجراءات والشروط فإن مطالبة الطاعن المطعون ضدها الثانية بإلزامها بتسجيل سيارة التداعي تكون على غير أساس. ولما كان </w:t>
      </w:r>
      <w:r w:rsidRPr="00E060C7">
        <w:rPr>
          <w:rFonts w:asciiTheme="majorBidi" w:hAnsiTheme="majorBidi" w:cstheme="majorBidi" w:hint="cs"/>
          <w:sz w:val="32"/>
          <w:szCs w:val="32"/>
          <w:rtl/>
          <w:lang w:bidi="ar-BH"/>
        </w:rPr>
        <w:t>مفاد</w:t>
      </w:r>
      <w:r w:rsidRPr="00E060C7">
        <w:rPr>
          <w:rFonts w:asciiTheme="majorBidi" w:hAnsiTheme="majorBidi" w:cstheme="majorBidi"/>
          <w:sz w:val="32"/>
          <w:szCs w:val="32"/>
          <w:rtl/>
          <w:lang w:bidi="ar-BH"/>
        </w:rPr>
        <w:t xml:space="preserve"> نصوص المواد 13 ، 14 ، 23 من قانون المرور الصادر بالمرسوم بقانون </w:t>
      </w:r>
      <w:r w:rsidRPr="00E060C7">
        <w:rPr>
          <w:rFonts w:asciiTheme="majorBidi" w:hAnsiTheme="majorBidi" w:cstheme="majorBidi" w:hint="cs"/>
          <w:sz w:val="32"/>
          <w:szCs w:val="32"/>
          <w:rtl/>
          <w:lang w:bidi="ar-BH"/>
        </w:rPr>
        <w:t>ال</w:t>
      </w:r>
      <w:r w:rsidRPr="00E060C7">
        <w:rPr>
          <w:rFonts w:asciiTheme="majorBidi" w:hAnsiTheme="majorBidi" w:cstheme="majorBidi"/>
          <w:sz w:val="32"/>
          <w:szCs w:val="32"/>
          <w:rtl/>
          <w:lang w:bidi="ar-BH"/>
        </w:rPr>
        <w:t>سالف البيان أن التزام المالك السابق للسيارة بإخطار إدارة المرور والترخيص بنقل ملكيتها لآخر الذي عليه أن يتقدم بطلب نقل التسجيل باسمه على أن يتم الإخطار واستيفاء الاجراءات خلال ثلاثين يوما من اليوم التالي لتاريخ السند المثبت لنقل الملكية وإلا اعتبرت شهادة التسجيل ملغاة من اليوم التالي لانتهاء هذه المدة وهو ما يتطلب بداهة أن تكون شهادة تسجيل المالك السابق أو</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تجديدها لم تنته مدة صلاحيتها والمقرر سريانها بمدة عام من تاريخ إصدارها</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لما كان ذلك وكان البين من الأوراق وبلا منازعة بين الخصوم أن سيارة التداعي قد تم بيعها للطاعن بالمزاد في 18/11/2009 بعد أن تم التنازل عنها نتيجة حادث من المطعون ضدها الأخيرة للمؤمنة "المطعون ضدها الأولى"</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وإذ خلت الأوراق مما يفيد تجديد شهادة تسجيل السيارة التي كانت سارية قبل الحادث وانتقال ملكيتها بالبيع للطاعن حتى انتهائه من إصلاحها ثم قيامه بإنذار المطعون ضدها الأول</w:t>
      </w:r>
      <w:r w:rsidRPr="00E060C7">
        <w:rPr>
          <w:rFonts w:asciiTheme="majorBidi" w:hAnsiTheme="majorBidi" w:cstheme="majorBidi" w:hint="cs"/>
          <w:sz w:val="32"/>
          <w:szCs w:val="32"/>
          <w:rtl/>
          <w:lang w:bidi="ar-BH"/>
        </w:rPr>
        <w:t>ى</w:t>
      </w:r>
      <w:r w:rsidRPr="00E060C7">
        <w:rPr>
          <w:rFonts w:asciiTheme="majorBidi" w:hAnsiTheme="majorBidi" w:cstheme="majorBidi"/>
          <w:sz w:val="32"/>
          <w:szCs w:val="32"/>
          <w:rtl/>
          <w:lang w:bidi="ar-BH"/>
        </w:rPr>
        <w:t xml:space="preserve"> بتسليمه أوراقها في 5/6/2011 وهو ما يفيد انتهاء صلاحية تلك الشهادة</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فضلا عن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لغاء الترخيص الصادر للسيارة باعتبارها من المركبات المصرح باستخدامها لخدمة الجمهور "تاكس</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وبافتراض قيام المطعون ضدهما الثالثة والرابعة بإخطار إدارة المرور بعد انتهاء الطاعن من تصليح السيارتين لم يكن يرتب أثره في نقل الملكية طالما أن شهادة تسجيلهما قد انتهت مدتها</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فضلا عن فوات ميعاد الإخطار من تاريخ البيع فتبقى مسئوليتهما تبعا لذلك عن تعويض الطاعن</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وكان الحكم الابتدائي المؤيد لأسبابه بالحكم المطعون فيه وبما لمحكمة الموضوع من سلطة في فهم الواقع في الدعوى وتقدير الأدلة ومنها شهادة الشهود قد نفى مسئولية المطعون ضدها الأولى عن تعويض الطاعن على ما اطمأن إليه من أقوال الشهود أن سيارتي التداعي قد بيعتا للطاعن كحطام غير صالح</w:t>
      </w:r>
      <w:r w:rsidRPr="00E060C7">
        <w:rPr>
          <w:rFonts w:asciiTheme="majorBidi" w:hAnsiTheme="majorBidi" w:cstheme="majorBidi" w:hint="cs"/>
          <w:sz w:val="32"/>
          <w:szCs w:val="32"/>
          <w:rtl/>
          <w:lang w:bidi="ar-BH"/>
        </w:rPr>
        <w:t>تين</w:t>
      </w:r>
      <w:r w:rsidRPr="00E060C7">
        <w:rPr>
          <w:rFonts w:asciiTheme="majorBidi" w:hAnsiTheme="majorBidi" w:cstheme="majorBidi"/>
          <w:sz w:val="32"/>
          <w:szCs w:val="32"/>
          <w:rtl/>
          <w:lang w:bidi="ar-BH"/>
        </w:rPr>
        <w:t xml:space="preserve"> للاستعمال أو التشغيل دون الغرض الذي يدعيه الطاعن أنه قام بالشراء بقصد التصليح وإعادة تشغيلهما وأن الأوراق قد خلت من أي مستند مثبت لهذا الاتفاق</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وكان هذا الذي خلص إليه الحكم سائغا وله أصل ثابت بالأوراق ويكفي لحمل قضائه فإن ما ينعاه الطاعن في هذا الشأن لا يعدو أن يكون جدلا فيما لمحكمة الموضوع من سلطة بشأنه بغية الوصول إلى نتيجة مخالفة وهو ما لا يقبل التحدي به أمام هذه المحكمة.</w:t>
      </w:r>
    </w:p>
    <w:p w:rsidR="00AB7970" w:rsidRPr="00E060C7" w:rsidRDefault="00AB7970" w:rsidP="00AB7970">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ولما تقدم يتعين رفض الطعن.</w:t>
      </w:r>
    </w:p>
    <w:p w:rsidR="00881E95" w:rsidRDefault="00881E95">
      <w:pPr>
        <w:rPr>
          <w:lang w:bidi="ar-BH"/>
        </w:rPr>
      </w:pPr>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E2"/>
    <w:rsid w:val="0003272B"/>
    <w:rsid w:val="00431BE2"/>
    <w:rsid w:val="00881E95"/>
    <w:rsid w:val="00AB79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7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7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2020-04-21T12:11:00Z</dcterms:created>
  <dcterms:modified xsi:type="dcterms:W3CDTF">2020-04-21T12:11:00Z</dcterms:modified>
</cp:coreProperties>
</file>