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4BD" w:rsidRPr="00E060C7" w:rsidRDefault="00BB14BD" w:rsidP="00BB14BD">
      <w:pPr>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جلسة 10 من يناير سنة 2017</w:t>
      </w:r>
    </w:p>
    <w:p w:rsidR="00BB14BD" w:rsidRPr="00E060C7" w:rsidRDefault="00BB14BD" w:rsidP="00BB14B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برئاسة المستشار أحمد حسن عبدالرازق</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وعضوية المستشارين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محمد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بوالقاسم خليل سيد ،محمد محمد محمد الصياد ،أحمد علي يحي</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w:t>
      </w:r>
    </w:p>
    <w:p w:rsidR="00BB14BD" w:rsidRPr="00E060C7" w:rsidRDefault="00BB14BD" w:rsidP="00BB14BD">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B14BD" w:rsidRPr="00E060C7" w:rsidRDefault="00BB14BD" w:rsidP="00BB14BD">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14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BB14BD" w:rsidRPr="00E060C7" w:rsidRDefault="00BB14BD" w:rsidP="00BB14BD">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258 لسنة 2016 </w:t>
      </w:r>
    </w:p>
    <w:p w:rsidR="00BB14BD" w:rsidRPr="00E060C7" w:rsidRDefault="00BB14BD" w:rsidP="00BB14BD">
      <w:pPr>
        <w:tabs>
          <w:tab w:val="left" w:pos="814"/>
        </w:tabs>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r w:rsidRPr="00E060C7">
        <w:rPr>
          <w:rFonts w:asciiTheme="majorBidi" w:hAnsiTheme="majorBidi" w:cstheme="majorBidi"/>
          <w:b/>
          <w:bCs/>
          <w:sz w:val="32"/>
          <w:szCs w:val="32"/>
          <w:rtl/>
          <w:lang w:bidi="ar-BH"/>
        </w:rPr>
        <w:tab/>
      </w:r>
      <w:r w:rsidRPr="00E060C7">
        <w:rPr>
          <w:rFonts w:asciiTheme="majorBidi" w:hAnsiTheme="majorBidi" w:cstheme="majorBidi"/>
          <w:b/>
          <w:bCs/>
          <w:sz w:val="32"/>
          <w:szCs w:val="32"/>
          <w:rtl/>
          <w:lang w:bidi="ar-BH"/>
        </w:rPr>
        <w:tab/>
      </w:r>
    </w:p>
    <w:p w:rsidR="00BB14BD" w:rsidRPr="00E060C7" w:rsidRDefault="00BB14BD" w:rsidP="00BB14BD">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تمييز .</w:t>
      </w:r>
    </w:p>
    <w:p w:rsidR="00BB14BD" w:rsidRPr="00E060C7" w:rsidRDefault="00BB14BD" w:rsidP="00BB14B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ترك الخصومة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الطعن بالتمييز . حصوله بعد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نقضاء ميعاد الطعن  مؤداه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عتباره نزولا من الطاعن عن حقه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الطعن . تحقق آثاره بمجرد حصوله بغير حاجة إلى قبول الخصم الآخر . تقديم وكيل الطاعنة مذكرة بتنازله عن الطعن وترك الخصومة فيه وأن سند وكالته يخوله ذلك . وجوب الحكم بإثبات ترك الطاعنة للخصومة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الطعن .   </w:t>
      </w:r>
    </w:p>
    <w:p w:rsidR="00BB14BD" w:rsidRPr="00E060C7" w:rsidRDefault="00BB14BD" w:rsidP="00BB14BD">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BB14BD" w:rsidRPr="00E060C7" w:rsidRDefault="00BB14BD" w:rsidP="00BB14BD">
      <w:pPr>
        <w:numPr>
          <w:ilvl w:val="0"/>
          <w:numId w:val="1"/>
        </w:numPr>
        <w:bidi/>
        <w:spacing w:after="0" w:line="360" w:lineRule="auto"/>
        <w:ind w:left="0"/>
        <w:jc w:val="lowKashida"/>
        <w:rPr>
          <w:rFonts w:asciiTheme="majorBidi" w:hAnsiTheme="majorBidi" w:cstheme="majorBidi"/>
          <w:sz w:val="32"/>
          <w:szCs w:val="32"/>
          <w:lang w:bidi="ar-BH"/>
        </w:rPr>
      </w:pPr>
      <w:r w:rsidRPr="00E060C7">
        <w:rPr>
          <w:rFonts w:asciiTheme="majorBidi" w:hAnsiTheme="majorBidi" w:cstheme="majorBidi"/>
          <w:sz w:val="32"/>
          <w:szCs w:val="32"/>
          <w:rtl/>
          <w:lang w:bidi="ar-BH"/>
        </w:rPr>
        <w:t xml:space="preserve">المقرر – في قضاء هذه المحكمة – أن النزول عن الطعن أو ترك الخصومة فيه متى حصل بعد انقضاء ميعاد الطعن يتضمن بالضرورة نزولا من الطاعن عن حقه في الطعن وتتحقق آثاره بمجرد حصوله بغير حاجة إلى قبول الخصم الآخر ولا يملك المتنازل أن يعود فيما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سقط حقه فيه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 وكيل الطاعنة قد قدم مذكرة قرر فيها تنازله عن الطعن وترك الخصومة فيه وكان سند وكالته يخوله ذلك فإنه يتعين الحكم بإثبات ترك الطاعنة للخصومة في الطعن. </w:t>
      </w:r>
    </w:p>
    <w:p w:rsidR="00BB14BD" w:rsidRPr="00E060C7" w:rsidRDefault="00BB14BD" w:rsidP="00BB14BD">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BB14BD" w:rsidRPr="00E060C7" w:rsidRDefault="00BB14BD" w:rsidP="00BB14BD">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المحكمــة</w:t>
      </w:r>
    </w:p>
    <w:p w:rsidR="00BB14BD" w:rsidRPr="00E060C7" w:rsidRDefault="00BB14BD" w:rsidP="00BB14BD">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الاطلاع على الأوراق, وسماع التقرير الذي تلاه القاضي المقرر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وبعد المداولة.</w:t>
      </w:r>
    </w:p>
    <w:p w:rsidR="00BB14BD" w:rsidRPr="00E060C7" w:rsidRDefault="00BB14BD" w:rsidP="00BB14BD">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 xml:space="preserve">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الوقائع – على ما يبين من الحكم المطعون فيه وسائر الأوراق – تتحصل في أن الطاعنة أقامت على المطعون ضدها الدعوى رقم 2/2013/05229/3 أمام المحكمة الكبرى المدنية بطلب الحكم بإلزامها بأن تؤدي إليها تعويضا عن الأضرار التي لحقت بها نتيجة امتناع المطعون ضدها عن تمكينها من النفاذ إلى محطة الانتهاء للربط بين الشبكة المذكورة والكابل</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وذلك قبل أن تستصدر الطاعنة قرارا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 xml:space="preserve">ن هيئة الاتصالات بإلزام الممتنعة تمكينها من النفاذ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لى الكابل المذكور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حكمت المحكمة بعدم سماع الدعوى لسقوط الحق في رفعها بالتقادم</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استأنفت الطاعنة هذا الحكم بالاستئناف رقم 9/866/2014/03 أمام محكمة الاستئناف العليا المدنية التي حكمت برفض الاستئناف وتأييد الحكم المستأنف</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طعنت الطاعنة في هذا الحكم بطريق التمييز وقدم وكيلها مذكرة أثبت فيها تنازله عن الطعن وترك الخصومة فيه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قدم المكتب الفني مذكرة برأيه في الطعن.</w:t>
      </w:r>
    </w:p>
    <w:p w:rsidR="00BB14BD" w:rsidRPr="00E060C7" w:rsidRDefault="00BB14BD" w:rsidP="00BB14BD">
      <w:pPr>
        <w:bidi/>
        <w:spacing w:after="0" w:line="360" w:lineRule="auto"/>
        <w:ind w:firstLine="720"/>
        <w:jc w:val="lowKashida"/>
        <w:rPr>
          <w:rFonts w:asciiTheme="majorBidi" w:hAnsiTheme="majorBidi" w:cstheme="majorBidi"/>
          <w:sz w:val="32"/>
          <w:szCs w:val="32"/>
          <w:lang w:bidi="ar-BH"/>
        </w:rPr>
      </w:pPr>
      <w:r w:rsidRPr="00E060C7">
        <w:rPr>
          <w:rFonts w:asciiTheme="majorBidi" w:hAnsiTheme="majorBidi" w:cstheme="majorBidi"/>
          <w:sz w:val="32"/>
          <w:szCs w:val="32"/>
          <w:rtl/>
          <w:lang w:bidi="ar-BH"/>
        </w:rPr>
        <w:t xml:space="preserve">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نه من المقرر – في قضاء هذه المحكمة – أن النزول عن الطعن أو ترك الخصومة فيه متى حصل بعد انقضاء ميعاد الطعن يتضمن بالضرورة نزولا من الطاعن عن حقه في الطعن وتتحقق آثاره بمجرد حصوله بغير حاجة إلى قبول الخصم الآخر ولا يملك المتنازل أن يعود فيما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سقط حقه فيه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 وكيل الطاعنة قد قدم مذكرة قرر فيها تنازله عن الطعن وترك الخصومة فيه وكان سند وكالته يخوله ذلك فإنه يتعين الحكم بإثبات ترك الطاعنة للخصومة في الطعن .</w:t>
      </w:r>
    </w:p>
    <w:p w:rsidR="00881E95" w:rsidRDefault="00881E95">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3098E"/>
    <w:multiLevelType w:val="hybridMultilevel"/>
    <w:tmpl w:val="A92C8DF6"/>
    <w:lvl w:ilvl="0" w:tplc="3A7294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36"/>
    <w:rsid w:val="0003272B"/>
    <w:rsid w:val="00881E95"/>
    <w:rsid w:val="00BB14BD"/>
    <w:rsid w:val="00E7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B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B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2020-04-21T12:13:00Z</dcterms:created>
  <dcterms:modified xsi:type="dcterms:W3CDTF">2020-04-21T12:13:00Z</dcterms:modified>
</cp:coreProperties>
</file>