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8D" w:rsidRPr="000951F0" w:rsidRDefault="0072518D" w:rsidP="0072518D">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3 من ابريل سنة 2017</w:t>
      </w:r>
    </w:p>
    <w:p w:rsidR="0072518D" w:rsidRPr="000951F0" w:rsidRDefault="0072518D" w:rsidP="0072518D">
      <w:pPr>
        <w:spacing w:after="0" w:line="360" w:lineRule="auto"/>
        <w:jc w:val="lowKashida"/>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w:t>
      </w:r>
      <w:r w:rsidRPr="000951F0">
        <w:rPr>
          <w:rFonts w:asciiTheme="majorBidi" w:eastAsia="Times New Roman" w:hAnsiTheme="majorBidi" w:cs="Times New Roman" w:hint="cs"/>
          <w:sz w:val="32"/>
          <w:szCs w:val="32"/>
          <w:rtl/>
          <w:lang w:bidi="ar-BH"/>
        </w:rPr>
        <w:t xml:space="preserve">ر </w:t>
      </w:r>
      <w:r w:rsidRPr="000951F0">
        <w:rPr>
          <w:rFonts w:asciiTheme="majorBidi" w:eastAsia="Times New Roman" w:hAnsiTheme="majorBidi" w:cs="Times New Roman"/>
          <w:sz w:val="32"/>
          <w:szCs w:val="32"/>
          <w:rtl/>
          <w:lang w:bidi="ar-BH"/>
        </w:rPr>
        <w:t>علي يوسف منصور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يحي</w:t>
      </w:r>
      <w:r w:rsidRPr="000951F0">
        <w:rPr>
          <w:rFonts w:asciiTheme="majorBidi" w:eastAsia="Times New Roman" w:hAnsiTheme="majorBidi" w:cs="Times New Roman" w:hint="cs"/>
          <w:sz w:val="32"/>
          <w:szCs w:val="32"/>
          <w:rtl/>
          <w:lang w:bidi="ar-BH"/>
        </w:rPr>
        <w:t>ى</w:t>
      </w:r>
      <w:r w:rsidRPr="000951F0">
        <w:rPr>
          <w:rFonts w:asciiTheme="majorBidi" w:eastAsia="Times New Roman" w:hAnsiTheme="majorBidi" w:cs="Times New Roman"/>
          <w:sz w:val="32"/>
          <w:szCs w:val="32"/>
          <w:rtl/>
          <w:lang w:bidi="ar-BH"/>
        </w:rPr>
        <w:t xml:space="preserve"> فتحي شافعي يمامة ،عبدالله يعقوب عبدالرحمن ، محمد حسن البوعينين ، عبدالمنعم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براهيم الشهاوي</w:t>
      </w:r>
    </w:p>
    <w:p w:rsidR="0072518D" w:rsidRPr="000951F0" w:rsidRDefault="0072518D" w:rsidP="0072518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w:t>
      </w:r>
    </w:p>
    <w:p w:rsidR="0072518D" w:rsidRPr="000951F0" w:rsidRDefault="0072518D" w:rsidP="0072518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125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72518D" w:rsidRPr="000951F0" w:rsidRDefault="0072518D" w:rsidP="0072518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276 لسنة 2015 </w:t>
      </w:r>
    </w:p>
    <w:p w:rsidR="0072518D" w:rsidRPr="000951F0" w:rsidRDefault="0072518D" w:rsidP="0072518D">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(1- 2) ايجار . حكم "عيوب التدليل : الخطأ فى تطبيق القانون- الفساد فى الاستدلال- القصور فى التسبيب". عقد . ملكية . منفعة عامة.</w:t>
      </w:r>
    </w:p>
    <w:p w:rsidR="0072518D" w:rsidRPr="000951F0" w:rsidRDefault="0072518D" w:rsidP="0072518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نزع ملكية العين المؤجرة للمنفعة العامة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عتباره هلاكا كليا . مؤداه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نفساخ عقد الايجار بحكم القانون ومن تلقاء نفسه لاستحالة تنفيذه . علة ذلك.</w:t>
      </w:r>
    </w:p>
    <w:p w:rsidR="0072518D" w:rsidRPr="000951F0" w:rsidRDefault="0072518D" w:rsidP="0072518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(2) تمسك الطاعنة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دفاعها أمام محكمة الموضوع بصدور قرار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ستملاك لعقار النزاع لوزارة الاسكان و</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نتقال ملكيته إلى الهيئة البلدية المركزية و</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نفساخ عقد الايجار بحكم القانون المحرر بين المطعون ضده والمؤجر الأصل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قضاء الحكم المطعون فيه برفض دعوى الطاعنة بإخلاء المطعون ضده من عقار التداع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استناد</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إلى أحقيته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امتداد عقد الايجار وفقا لحكم المحكمة الدستورية ملتفتا عن ذلك الدفاع خطأ وفساد وقصور.</w:t>
      </w:r>
    </w:p>
    <w:p w:rsidR="0072518D" w:rsidRPr="000951F0" w:rsidRDefault="0072518D" w:rsidP="0072518D">
      <w:pPr>
        <w:tabs>
          <w:tab w:val="left" w:pos="924"/>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72518D" w:rsidRPr="000951F0" w:rsidRDefault="0072518D" w:rsidP="0072518D">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72518D" w:rsidRPr="000951F0" w:rsidRDefault="0072518D" w:rsidP="0072518D">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ان نزع ملكية العين المؤجرة للمنفعة العامة يعد هلاكا كليا يترتب عليه انفساخ عقد الايجار بحكم القانون ومن تلقاء نفسه لاستحالة تنفيذه بسبب انعدام المحل لسبب اجنبي، وان التعرض الحاصل للمستأجر من جهة حكومية قامت بنزع ملكية العين المؤجرة للمنفعة العامة والاستيلاء عليها يعتبر صادرا في حدود القانون ولا دخل للمؤجر فيه، ومن أجل ذلك يترتب عليه انهاء عقد الايجار.</w:t>
      </w:r>
    </w:p>
    <w:p w:rsidR="0072518D" w:rsidRPr="000951F0" w:rsidRDefault="0072518D" w:rsidP="0072518D">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lastRenderedPageBreak/>
        <w:t xml:space="preserve">إذ كان ذلك وكانت الطاعنة قد تمسكت في دفاعها امام محكمة الموضوع بصدور قرار استملاك لعقار النزاع بتاريخ 30/9/1984 لوزارة الإسكان ثم انتقلت ملكيته إلى الهيئة البلدية المركزية بالمعاوضة في 9/4/1994، وبالتالي انفساخ عقد الايجار بحكم القانون ــ المحرر بين المطعون ضده، وورثة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"المؤجر الأصلي" المؤرخ في 1/9/1982، الا ان الحكم المطعون فيه التفت عن </w:t>
      </w:r>
      <w:r w:rsidRPr="000951F0">
        <w:rPr>
          <w:rFonts w:asciiTheme="majorBidi" w:eastAsia="Times New Roman" w:hAnsiTheme="majorBidi" w:cs="Times New Roman" w:hint="cs"/>
          <w:sz w:val="32"/>
          <w:szCs w:val="32"/>
          <w:rtl/>
          <w:lang w:bidi="ar-BH"/>
        </w:rPr>
        <w:t xml:space="preserve">هذا </w:t>
      </w:r>
      <w:r w:rsidRPr="000951F0">
        <w:rPr>
          <w:rFonts w:asciiTheme="majorBidi" w:eastAsia="Times New Roman" w:hAnsiTheme="majorBidi" w:cs="Times New Roman"/>
          <w:sz w:val="32"/>
          <w:szCs w:val="32"/>
          <w:rtl/>
          <w:lang w:bidi="ar-BH"/>
        </w:rPr>
        <w:t xml:space="preserve">الدفاع وقضى برفض دعوى الطاعنة بإخلاء المطعون ضده من عقار التداعي استنادا الى احقيته في امتداد عقد الايجار ــ وفقا للحكم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المحكمة الدستورية في الدعوى رقم م ن/ 1 /2013 السنة 11 قضائية</w:t>
      </w:r>
      <w:r w:rsidRPr="000951F0">
        <w:rPr>
          <w:rFonts w:asciiTheme="majorBidi" w:eastAsia="Times New Roman" w:hAnsiTheme="majorBidi" w:cs="Times New Roman" w:hint="cs"/>
          <w:sz w:val="32"/>
          <w:szCs w:val="32"/>
          <w:rtl/>
          <w:lang w:bidi="ar-BH"/>
        </w:rPr>
        <w:t xml:space="preserve"> ــ</w:t>
      </w:r>
      <w:r w:rsidRPr="000951F0">
        <w:rPr>
          <w:rFonts w:asciiTheme="majorBidi" w:eastAsia="Times New Roman" w:hAnsiTheme="majorBidi" w:cs="Times New Roman"/>
          <w:sz w:val="32"/>
          <w:szCs w:val="32"/>
          <w:rtl/>
          <w:lang w:bidi="ar-BH"/>
        </w:rPr>
        <w:t xml:space="preserve"> مما يعيبه فضلا عن الخطأ في تطبيق القانون </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الفساد في الاستدلال والقصور في التسبيب .</w:t>
      </w:r>
    </w:p>
    <w:p w:rsidR="0072518D" w:rsidRPr="000951F0" w:rsidRDefault="0072518D" w:rsidP="0072518D">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 xml:space="preserve">              ـــــــــــــــــــــــــــــــــــــــــــــــــــــــــــــــ</w:t>
      </w:r>
    </w:p>
    <w:p w:rsidR="0072518D" w:rsidRPr="000951F0" w:rsidRDefault="0072518D" w:rsidP="0072518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72518D" w:rsidRPr="000951F0" w:rsidRDefault="0072518D" w:rsidP="0072518D">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rPr>
        <w:t>بعد الاطلاع على الأوراق ، وسماع التقرير الذي تلاه القاضي المقرر،</w:t>
      </w:r>
      <w:r w:rsidRPr="000951F0">
        <w:rPr>
          <w:rFonts w:asciiTheme="majorBidi" w:eastAsia="Times New Roman" w:hAnsiTheme="majorBidi" w:cs="Times New Roman"/>
          <w:sz w:val="32"/>
          <w:szCs w:val="32"/>
          <w:rtl/>
          <w:lang w:bidi="ar-BH"/>
        </w:rPr>
        <w:t xml:space="preserve"> وبعد المداولة.</w:t>
      </w:r>
    </w:p>
    <w:p w:rsidR="0072518D" w:rsidRPr="000951F0" w:rsidRDefault="0072518D" w:rsidP="0072518D">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إن الطعن استوفى أوضاعه الشكلية.</w:t>
      </w:r>
    </w:p>
    <w:p w:rsidR="0072518D" w:rsidRPr="000951F0" w:rsidRDefault="0072518D" w:rsidP="0072518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إن الوقائع</w:t>
      </w:r>
      <w:r w:rsidRPr="000951F0">
        <w:rPr>
          <w:rFonts w:asciiTheme="majorBidi" w:eastAsia="Times New Roman" w:hAnsiTheme="majorBidi" w:cs="Times New Roman" w:hint="cs"/>
          <w:sz w:val="32"/>
          <w:szCs w:val="32"/>
          <w:rtl/>
          <w:lang w:bidi="ar-BH"/>
        </w:rPr>
        <w:t xml:space="preserve"> ــ</w:t>
      </w:r>
      <w:r w:rsidRPr="000951F0">
        <w:rPr>
          <w:rFonts w:asciiTheme="majorBidi" w:eastAsia="Times New Roman" w:hAnsiTheme="majorBidi" w:cs="Times New Roman"/>
          <w:sz w:val="32"/>
          <w:szCs w:val="32"/>
          <w:rtl/>
          <w:lang w:bidi="ar-BH"/>
        </w:rPr>
        <w:t xml:space="preserve"> على ما يبين الأوراق ــ تتحصل في أن الطاعنة أقامت على المطعون ضده الدعوى رقم 17685 لسنة 2012 أمام المحكمة الكبرى بطلب الحكم بإخلا</w:t>
      </w:r>
      <w:r w:rsidRPr="000951F0">
        <w:rPr>
          <w:rFonts w:asciiTheme="majorBidi" w:eastAsia="Times New Roman" w:hAnsiTheme="majorBidi" w:cs="Times New Roman" w:hint="cs"/>
          <w:sz w:val="32"/>
          <w:szCs w:val="32"/>
          <w:rtl/>
          <w:lang w:bidi="ar-BH"/>
        </w:rPr>
        <w:t>ئ</w:t>
      </w:r>
      <w:r w:rsidRPr="000951F0">
        <w:rPr>
          <w:rFonts w:asciiTheme="majorBidi" w:eastAsia="Times New Roman" w:hAnsiTheme="majorBidi" w:cs="Times New Roman"/>
          <w:sz w:val="32"/>
          <w:szCs w:val="32"/>
          <w:rtl/>
          <w:lang w:bidi="ar-BH"/>
        </w:rPr>
        <w:t>ه من عقار النزاع والبالغ</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أجرته 150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شهريا لانتهاء مدته وذلك على سند من ان المدعى عليه استأجر الأرض المبينة بلائحة الدعوى من ورثة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لمدة ثلاثين عاما تبدأ من 1/9/1982 حتى 31/8/2012 بمبلغ قدره 150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سنويا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ثم انتقلت ملكية تلك الأرض عام 1984 لوزارة الإسكان لصدور قرار بالاستملاك ثم الى الهيئة البلدية المركزية بالمعاوضة في عام 1994</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وان عقد الايجا</w:t>
      </w:r>
      <w:r w:rsidRPr="000951F0">
        <w:rPr>
          <w:rFonts w:asciiTheme="majorBidi" w:eastAsia="Times New Roman" w:hAnsiTheme="majorBidi" w:cs="Times New Roman" w:hint="cs"/>
          <w:sz w:val="32"/>
          <w:szCs w:val="32"/>
          <w:rtl/>
          <w:lang w:bidi="ar-BH"/>
        </w:rPr>
        <w:t>ر ال</w:t>
      </w:r>
      <w:r w:rsidRPr="000951F0">
        <w:rPr>
          <w:rFonts w:asciiTheme="majorBidi" w:eastAsia="Times New Roman" w:hAnsiTheme="majorBidi" w:cs="Times New Roman"/>
          <w:sz w:val="32"/>
          <w:szCs w:val="32"/>
          <w:rtl/>
          <w:lang w:bidi="ar-BH"/>
        </w:rPr>
        <w:t>سالف الذكر قد انتهى في 31/8/2012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وخاطبت الطاعنة المطعون ضده برغبتها في عدم تجديده وطلبت اخلاء العقار الا انه لم يستجب فأقامت دعواها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حكمت المحكمة بعدم اختصاصها نوعيا بنظر الدعوى واحالتها الى المحكمة الصغرى</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التي حكمت بالطلبات بحكم استأنفه المطعون ضده بالاستئناف رقم 3658 سنة 2014 امام المحكمة الكبرى ــ بهيئتها الاستئنافية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التي حكمت بإلغاء الحكم المستأنف ورفض الدعوى</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طعنت الطاعنة في هذا الحكم بطريق التمييز</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والمكتب الفني للمحكمة قدم مذكرة برأيه في الطعن.</w:t>
      </w:r>
    </w:p>
    <w:p w:rsidR="0072518D" w:rsidRPr="000951F0" w:rsidRDefault="0072518D" w:rsidP="0072518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مما تنعاه الطاعنة على الحكم المطعون فيه مخالفة القانون والخطأ في تطبيقه والقصور في التسبيب والفساد في الاستدلال اذ قضى برفض الدعوى استنادا الى 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المحكمة الدستورية العليا في الدعوى رقم 1 لسنة 2013 السنة 11 قضائية في أحقية المطعون ضده في الامتداد القانوني لعقد ايجار عين النزاع</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رغم انفساخ ذلك العقد من تاريخ صدور قرار استملاك عين النزاع كما انها قد أبدت رغبتها في عدم تجديد عقد الايجار وان ما يربطها بالمطعون ضده ترخيص بالانتفاع وليس عقد ايجار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واذ خالف الحكم المطعون فيه هذا النظر ف</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نه يكون معيبا بما يستوجب نقضه.</w:t>
      </w:r>
    </w:p>
    <w:p w:rsidR="0072518D" w:rsidRPr="000951F0" w:rsidRDefault="0072518D" w:rsidP="0072518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في محله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 نزع ملكية العين المؤجرة للمنفعة العامة يعد هلاكا كليا يترتب عليه انفساخ عقد الايجار بحكم القانون ومن تلقاء نفسه لاستحالة تنفيذه بسبب انعدام المحل لسبب اجنبي، وان التعرض الحاصل للمستأجر من جهة حكومية قامت بنزع ملكية العين المؤجرة للمنفعة العامة والاستيلاء عليها يعتبر صادرا في حدود القانون ولا دخل للمؤجر فيه، ومن أجل ذلك يترتب عليه انهاء عقد الايجار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لما كان ذلك وكانت الطاعنة قد تمسكت في دفاعها امام محكمة الموضوع بصدور قرار استملاك لعقار النزاع بتاريخ 30/9/1984 لوزارة الإسكان ثم انتقلت ملكيته إلى الهيئة البلدية المركزية بالمعاوضة في 9/4/1994</w:t>
      </w:r>
      <w:r w:rsidRPr="000951F0">
        <w:rPr>
          <w:rFonts w:asciiTheme="majorBidi" w:eastAsia="Times New Roman" w:hAnsiTheme="majorBidi" w:cs="Times New Roman" w:hint="cs"/>
          <w:sz w:val="32"/>
          <w:szCs w:val="32"/>
          <w:rtl/>
          <w:lang w:bidi="ar-BH"/>
        </w:rPr>
        <w:t>ــ</w:t>
      </w:r>
      <w:r w:rsidRPr="000951F0">
        <w:rPr>
          <w:rFonts w:asciiTheme="majorBidi" w:eastAsia="Times New Roman" w:hAnsiTheme="majorBidi" w:cs="Times New Roman"/>
          <w:sz w:val="32"/>
          <w:szCs w:val="32"/>
          <w:rtl/>
          <w:lang w:bidi="ar-BH"/>
        </w:rPr>
        <w:t xml:space="preserve"> وبالتالي انفساخ عقد الايجار بحكم القانون ــ المحرر بين المطعون ضده، و"المؤجر الأصلي" المؤرخ في 1/9/1982، الا ان الحكم المطعون فيه التفت عن </w:t>
      </w:r>
      <w:r w:rsidRPr="000951F0">
        <w:rPr>
          <w:rFonts w:asciiTheme="majorBidi" w:eastAsia="Times New Roman" w:hAnsiTheme="majorBidi" w:cs="Times New Roman" w:hint="cs"/>
          <w:sz w:val="32"/>
          <w:szCs w:val="32"/>
          <w:rtl/>
          <w:lang w:bidi="ar-BH"/>
        </w:rPr>
        <w:t>ه</w:t>
      </w:r>
      <w:r w:rsidRPr="000951F0">
        <w:rPr>
          <w:rFonts w:asciiTheme="majorBidi" w:eastAsia="Times New Roman" w:hAnsiTheme="majorBidi" w:cs="Times New Roman"/>
          <w:sz w:val="32"/>
          <w:szCs w:val="32"/>
          <w:rtl/>
          <w:lang w:bidi="ar-BH"/>
        </w:rPr>
        <w:t>ذ</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الدفاع وقضى برفض دعوى الطاعنة بإخلاء المطعون ضده من عقار التداعي استنادا الى احقيته في امتداد عقد الايجار ــ وفقا للحكم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المحكمة الدستورية في الدعوى رقم م ن/ 1 /2013 السنة 11 قضائية</w:t>
      </w:r>
      <w:r w:rsidRPr="000951F0">
        <w:rPr>
          <w:rFonts w:asciiTheme="majorBidi" w:eastAsia="Times New Roman" w:hAnsiTheme="majorBidi" w:cs="Times New Roman" w:hint="cs"/>
          <w:sz w:val="32"/>
          <w:szCs w:val="32"/>
          <w:rtl/>
          <w:lang w:bidi="ar-BH"/>
        </w:rPr>
        <w:t xml:space="preserve"> ــ</w:t>
      </w:r>
      <w:r w:rsidRPr="000951F0">
        <w:rPr>
          <w:rFonts w:asciiTheme="majorBidi" w:eastAsia="Times New Roman" w:hAnsiTheme="majorBidi" w:cs="Times New Roman"/>
          <w:sz w:val="32"/>
          <w:szCs w:val="32"/>
          <w:rtl/>
          <w:lang w:bidi="ar-BH"/>
        </w:rPr>
        <w:t xml:space="preserve"> مما يعيبه فضلا عن الخطأ في تطبيق القانون </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الفساد في الاستدلال والقصور في التسبيب بما يوجب نقضه.</w:t>
      </w:r>
    </w:p>
    <w:p w:rsidR="0072518D" w:rsidRPr="000951F0" w:rsidRDefault="0072518D" w:rsidP="0072518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الموضوع صالح للفصل فيه – ولما تقدم – يتعين القضاء في موضوع الاستئناف برفضه وتأييد الحكم المستأنف.</w:t>
      </w:r>
    </w:p>
    <w:p w:rsidR="008D65A2" w:rsidRDefault="008D65A2">
      <w:pPr>
        <w:rPr>
          <w:lang w:bidi="ar-BH"/>
        </w:rPr>
      </w:pP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73A"/>
    <w:multiLevelType w:val="hybridMultilevel"/>
    <w:tmpl w:val="98F0D97A"/>
    <w:lvl w:ilvl="0" w:tplc="EE6AF67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50"/>
    <w:rsid w:val="0003272B"/>
    <w:rsid w:val="00614C50"/>
    <w:rsid w:val="0072518D"/>
    <w:rsid w:val="008D6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18D"/>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18D"/>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2020-04-22T10:15:00Z</dcterms:created>
  <dcterms:modified xsi:type="dcterms:W3CDTF">2020-04-22T10:16:00Z</dcterms:modified>
</cp:coreProperties>
</file>