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C4B" w:rsidRPr="000951F0" w:rsidRDefault="007F3C4B" w:rsidP="007F3C4B">
      <w:pPr>
        <w:spacing w:after="0" w:line="360" w:lineRule="auto"/>
        <w:jc w:val="center"/>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جلسة 11 من ابريل سنة 2017</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برئاسة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المستشار </w:t>
      </w:r>
      <w:r w:rsidRPr="000951F0">
        <w:rPr>
          <w:rFonts w:asciiTheme="majorBidi" w:eastAsia="Times New Roman" w:hAnsiTheme="majorBidi" w:cs="Times New Roman" w:hint="cs"/>
          <w:sz w:val="32"/>
          <w:szCs w:val="32"/>
          <w:rtl/>
          <w:lang w:bidi="ar-BH"/>
        </w:rPr>
        <w:t>د.</w:t>
      </w:r>
      <w:r w:rsidRPr="000951F0">
        <w:rPr>
          <w:rFonts w:asciiTheme="majorBidi" w:eastAsia="Times New Roman" w:hAnsiTheme="majorBidi" w:cs="Times New Roman"/>
          <w:sz w:val="32"/>
          <w:szCs w:val="32"/>
          <w:rtl/>
          <w:lang w:bidi="ar-BH"/>
        </w:rPr>
        <w:t>طه عبدالمولي طه</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وعضوية المستشارين</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نادر السيد علي عبدالمطلب</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إبراهيم محمد المرصفاوي ،عدنان عبدالله الشيخ هزيم الشامسي </w:t>
      </w:r>
    </w:p>
    <w:p w:rsidR="007F3C4B" w:rsidRPr="000951F0" w:rsidRDefault="007F3C4B" w:rsidP="007F3C4B">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w:t>
      </w:r>
    </w:p>
    <w:p w:rsidR="007F3C4B" w:rsidRPr="000951F0" w:rsidRDefault="007F3C4B" w:rsidP="007F3C4B">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132 </w:t>
      </w: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w:t>
      </w:r>
    </w:p>
    <w:p w:rsidR="007F3C4B" w:rsidRPr="000951F0" w:rsidRDefault="007F3C4B" w:rsidP="007F3C4B">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الطعن رقم 252 لسنة 2015 </w:t>
      </w:r>
    </w:p>
    <w:p w:rsidR="007F3C4B" w:rsidRPr="000951F0" w:rsidRDefault="007F3C4B" w:rsidP="007F3C4B">
      <w:pPr>
        <w:spacing w:after="0" w:line="360" w:lineRule="auto"/>
        <w:jc w:val="both"/>
        <w:rPr>
          <w:rFonts w:asciiTheme="majorBidi" w:eastAsia="Times New Roman" w:hAnsiTheme="majorBidi" w:cs="Times New Roman"/>
          <w:b/>
          <w:bCs/>
          <w:sz w:val="32"/>
          <w:szCs w:val="32"/>
          <w:u w:val="single"/>
          <w:rtl/>
          <w:lang w:bidi="ar-BH"/>
        </w:rPr>
      </w:pPr>
      <w:r w:rsidRPr="000951F0">
        <w:rPr>
          <w:rFonts w:asciiTheme="majorBidi" w:eastAsia="Times New Roman" w:hAnsiTheme="majorBidi" w:cs="Times New Roman"/>
          <w:b/>
          <w:bCs/>
          <w:sz w:val="32"/>
          <w:szCs w:val="32"/>
          <w:u w:val="single"/>
          <w:rtl/>
          <w:lang w:bidi="ar-BH"/>
        </w:rPr>
        <w:t xml:space="preserve"> (1-2) حكم "عيوب التدليل : القصور فى التسبيب - مخالفة القانون". رسوم . مجالس بلدية. </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(1) الأراض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والمبان</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والمنش</w:t>
      </w:r>
      <w:r w:rsidRPr="000951F0">
        <w:rPr>
          <w:rFonts w:asciiTheme="majorBidi" w:eastAsia="Times New Roman" w:hAnsiTheme="majorBidi" w:cs="Times New Roman" w:hint="cs"/>
          <w:sz w:val="32"/>
          <w:szCs w:val="32"/>
          <w:rtl/>
          <w:lang w:bidi="ar-BH"/>
        </w:rPr>
        <w:t>آ</w:t>
      </w:r>
      <w:r w:rsidRPr="000951F0">
        <w:rPr>
          <w:rFonts w:asciiTheme="majorBidi" w:eastAsia="Times New Roman" w:hAnsiTheme="majorBidi" w:cs="Times New Roman"/>
          <w:sz w:val="32"/>
          <w:szCs w:val="32"/>
          <w:rtl/>
          <w:lang w:bidi="ar-BH"/>
        </w:rPr>
        <w:t>ت الواقعة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نطاق كل بلدية . خضوعها للرسوم البلدية المقررة . الاستثناء . ما تم اعفا</w:t>
      </w:r>
      <w:r w:rsidRPr="000951F0">
        <w:rPr>
          <w:rFonts w:asciiTheme="majorBidi" w:eastAsia="Times New Roman" w:hAnsiTheme="majorBidi" w:cs="Times New Roman" w:hint="cs"/>
          <w:sz w:val="32"/>
          <w:szCs w:val="32"/>
          <w:rtl/>
          <w:lang w:bidi="ar-BH"/>
        </w:rPr>
        <w:t>ؤ</w:t>
      </w:r>
      <w:r w:rsidRPr="000951F0">
        <w:rPr>
          <w:rFonts w:asciiTheme="majorBidi" w:eastAsia="Times New Roman" w:hAnsiTheme="majorBidi" w:cs="Times New Roman"/>
          <w:sz w:val="32"/>
          <w:szCs w:val="32"/>
          <w:rtl/>
          <w:lang w:bidi="ar-BH"/>
        </w:rPr>
        <w:t xml:space="preserve">ه بقرار من مجلس الوزراء. عبء الالتزام بسداد هذه الرسوم . وقوعه على شاغل الموقع الخاضع للرسم سواء كان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المواطنين أو من المقيمين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المملكة ما لم يكن هناك </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تفاق بين المالك والشاغل يقض</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بغير ذلك . استحقاق هذه الرسوم شهريا بواقع 10% من القيمة الايجارية الشهرية الحقيقية أيا كانت طبيعة النشاط ومدة الإيجار . المواد 43، 44، 45، 46، 47 من اللائحة التنفيذية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قانون البلديات رقم 35 لسنة 2001.</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(2) تقديم الطاعنة كشف حساب صادر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هيئة الكهرباء والبيان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بقيمة الرسوم البلدية المستحقة على المحل المأجور أن المطعون ضده هو شاغله بصفته مستأجر</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له وانه الملزم بسداد الرسوم طبقا للثابت بالعقد ولم ينازع ف</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تلك المستندات . قضاء الحكم المطعون فيه بتأييد الحكم الابتدائ</w:t>
      </w:r>
      <w:r w:rsidRPr="000951F0">
        <w:rPr>
          <w:rFonts w:asciiTheme="majorBidi" w:eastAsia="Times New Roman" w:hAnsiTheme="majorBidi" w:cs="Times New Roman" w:hint="cs"/>
          <w:sz w:val="32"/>
          <w:szCs w:val="32"/>
          <w:rtl/>
          <w:lang w:bidi="ar-BH"/>
        </w:rPr>
        <w:t>ي</w:t>
      </w:r>
      <w:r w:rsidRPr="000951F0">
        <w:rPr>
          <w:rFonts w:asciiTheme="majorBidi" w:eastAsia="Times New Roman" w:hAnsiTheme="majorBidi" w:cs="Times New Roman"/>
          <w:sz w:val="32"/>
          <w:szCs w:val="32"/>
          <w:rtl/>
          <w:lang w:bidi="ar-BH"/>
        </w:rPr>
        <w:t xml:space="preserve"> برفض الدعوى </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التعرض لتلك المستندات وبحثها قصور ومخالفة.</w:t>
      </w:r>
    </w:p>
    <w:p w:rsidR="007F3C4B" w:rsidRPr="000951F0" w:rsidRDefault="007F3C4B" w:rsidP="007F3C4B">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 xml:space="preserve"> </w:t>
      </w:r>
    </w:p>
    <w:p w:rsidR="007F3C4B" w:rsidRPr="000951F0" w:rsidRDefault="007F3C4B" w:rsidP="007F3C4B">
      <w:pPr>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lang w:bidi="ar-BH"/>
        </w:rPr>
        <w:t xml:space="preserve">     </w:t>
      </w:r>
      <w:r w:rsidRPr="000951F0">
        <w:rPr>
          <w:rFonts w:asciiTheme="majorBidi" w:eastAsia="Times New Roman" w:hAnsiTheme="majorBidi" w:cs="Times New Roman"/>
          <w:b/>
          <w:bCs/>
          <w:sz w:val="32"/>
          <w:szCs w:val="32"/>
          <w:rtl/>
          <w:lang w:bidi="ar-BH"/>
        </w:rPr>
        <w:t>ـــــــــــــــــــــــــــــــــــــــــــــــــــــــــــــــ</w:t>
      </w:r>
    </w:p>
    <w:p w:rsidR="007F3C4B" w:rsidRPr="000951F0" w:rsidRDefault="007F3C4B" w:rsidP="007F3C4B">
      <w:pPr>
        <w:tabs>
          <w:tab w:val="left" w:pos="1912"/>
        </w:tabs>
        <w:spacing w:after="0" w:line="360" w:lineRule="auto"/>
        <w:rPr>
          <w:rFonts w:asciiTheme="majorBidi" w:eastAsia="Times New Roman" w:hAnsiTheme="majorBidi" w:cs="Times New Roman"/>
          <w:b/>
          <w:bCs/>
          <w:sz w:val="32"/>
          <w:szCs w:val="32"/>
          <w:lang w:bidi="ar-BH"/>
        </w:rPr>
      </w:pP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r w:rsidRPr="000951F0">
        <w:rPr>
          <w:rFonts w:asciiTheme="majorBidi" w:eastAsia="Times New Roman" w:hAnsiTheme="majorBidi" w:cs="Times New Roman"/>
          <w:b/>
          <w:bCs/>
          <w:sz w:val="32"/>
          <w:szCs w:val="32"/>
          <w:rtl/>
          <w:lang w:bidi="ar-BH"/>
        </w:rPr>
        <w:tab/>
      </w:r>
    </w:p>
    <w:p w:rsidR="007F3C4B" w:rsidRPr="000951F0" w:rsidRDefault="007F3C4B" w:rsidP="007F3C4B">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ن مفاد المواد 43، 44، 45، 46، 47 من اللائحة التنفيذية لقانون البلديات رقم 35 لسنة 2001 أن جميع الأراضي والمباني والمنشآت الواقعة في نطاق كل بلدية </w:t>
      </w:r>
      <w:r w:rsidRPr="000951F0">
        <w:rPr>
          <w:rFonts w:asciiTheme="majorBidi" w:eastAsia="Times New Roman" w:hAnsiTheme="majorBidi" w:cs="Times New Roman"/>
          <w:sz w:val="32"/>
          <w:szCs w:val="32"/>
          <w:rtl/>
          <w:lang w:bidi="ar-BH"/>
        </w:rPr>
        <w:lastRenderedPageBreak/>
        <w:t>تخضع للرسوم البلدية المقررة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ما عدا ما تم اعفاؤه منها بقرار من مجلس الوزراء – وذلك تبعا لنوعية وطبيعة استغلال واشغال هذه الأراضي والمباني، وأن عبء الالتزام بأداء هذه الرسوم، يكون على شاغل الموقع الخاضع للرسم سواء كان هذا الشاغل من المواطنين أو من المقيمين في المملكة، ما لم يكن هناك اتفاق بين المالك والشاغل يقضي بغير ذلك، وتستحق هذه الرسوم شهريا وتحسب على جميع المواقع المؤجرة الخاضعة لهذا الرسم بواقع 10% من القيمة الإيجارية الشهرية الحقيقية التي تعتمدها البلدية للموقع المؤجر، أيا كانت طبيعة النشاط في ذلك الموقع وأيا كانت مدة الإيجار المحددة لها.</w:t>
      </w:r>
    </w:p>
    <w:p w:rsidR="007F3C4B" w:rsidRPr="000951F0" w:rsidRDefault="007F3C4B" w:rsidP="007F3C4B">
      <w:pPr>
        <w:numPr>
          <w:ilvl w:val="0"/>
          <w:numId w:val="1"/>
        </w:numPr>
        <w:spacing w:after="0" w:line="360" w:lineRule="auto"/>
        <w:ind w:left="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 xml:space="preserve">اذ كان البين من الاطلاع على كشف الحساب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 xml:space="preserve">ن هيئة الكهرباء والماء، وكذا البيان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بقيمة الرسوم البلدية المستحقة على المحل المؤجر أن المطعون ضده هو شاغله بصفته مستأجرا له ابتداء من 1/10/2000، كما أن الثابت بعقد الإيجار الصادر له في الفقرة (ح) من المادة الثالثة الذي قدمت الطاعنة صورة مترجمة منه إلى اللغة العربية، إلى المحكمة أنه مستأجر المحل المشار إليه وأنه الملزم بسداد الرسوم البلدية المستحقة، وإذ لم يمثل المذكور وينازع فيما قدمته الطاعنة من أوراق رغم إعلانه بالدعوى، فإن الحكم الابتدائي إذ قضى برفض الدعوى قولا منه إن عقد الإيجار خلا من توقيع للمطعون ضده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يعرض لما قدمته الطاعنة من مستندات تقطع بأنه شاغل العين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 xml:space="preserve">دون أن يقول كلمته فيها ويحدد مقدار الرسم المستحق فعلا فإنه يكون فضلا عن قصوره قد خالف القانون، وإذ أيده الحكم المطعون فيه لأسبابه فإنه يكون معيبا. </w:t>
      </w:r>
    </w:p>
    <w:p w:rsidR="007F3C4B" w:rsidRPr="000951F0" w:rsidRDefault="007F3C4B" w:rsidP="007F3C4B">
      <w:pPr>
        <w:spacing w:after="0" w:line="360" w:lineRule="auto"/>
        <w:jc w:val="center"/>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ـــــــــــــــــــــــــــــــــــــــــــــــــــــــــــــــ</w:t>
      </w:r>
    </w:p>
    <w:p w:rsidR="007F3C4B" w:rsidRPr="000951F0" w:rsidRDefault="007F3C4B" w:rsidP="007F3C4B">
      <w:pPr>
        <w:tabs>
          <w:tab w:val="left" w:pos="1785"/>
          <w:tab w:val="left" w:pos="1852"/>
          <w:tab w:val="center" w:pos="4061"/>
        </w:tabs>
        <w:spacing w:after="0" w:line="360" w:lineRule="auto"/>
        <w:jc w:val="center"/>
        <w:rPr>
          <w:rFonts w:asciiTheme="majorBidi" w:eastAsia="Times New Roman" w:hAnsiTheme="majorBidi" w:cs="Times New Roman"/>
          <w:b/>
          <w:bCs/>
          <w:sz w:val="32"/>
          <w:szCs w:val="32"/>
          <w:rtl/>
          <w:lang w:bidi="ar-BH"/>
        </w:rPr>
      </w:pPr>
      <w:r w:rsidRPr="000951F0">
        <w:rPr>
          <w:rFonts w:asciiTheme="majorBidi" w:eastAsia="Times New Roman" w:hAnsiTheme="majorBidi" w:cs="Times New Roman"/>
          <w:b/>
          <w:bCs/>
          <w:sz w:val="32"/>
          <w:szCs w:val="32"/>
          <w:rtl/>
          <w:lang w:bidi="ar-BH"/>
        </w:rPr>
        <w:t>المحكمــة</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     بعد الاطلاع على الأوراق، وسماع التقرير الذي تلاه القاضي المقرر، وبعد المداولة.</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ab/>
        <w:t>حيث ان الطعن استوفى اوضاعه الشكلية.</w:t>
      </w:r>
    </w:p>
    <w:p w:rsidR="007F3C4B" w:rsidRPr="000951F0" w:rsidRDefault="007F3C4B" w:rsidP="007F3C4B">
      <w:pPr>
        <w:spacing w:after="0" w:line="360" w:lineRule="auto"/>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 الوقائع – على ما يبين من الأوراق – تتحصل في أن الطاعنة أقامت على المطعون ضده الدعوى رقم 1329 لسنة 2012 باللائحة المقدمة إلى المحكمة الكبرى المدنية بتاريخ 31/1/2012 بطلب ختامي هو الحكم بإلزامه بسداد مبلغ 000</w:t>
      </w:r>
      <w:r w:rsidRPr="000951F0">
        <w:rPr>
          <w:rFonts w:asciiTheme="majorBidi" w:eastAsia="Times New Roman" w:hAnsiTheme="majorBidi" w:cs="Times New Roman" w:hint="cs"/>
          <w:sz w:val="32"/>
          <w:szCs w:val="32"/>
          <w:rtl/>
          <w:lang w:bidi="ar-BH"/>
        </w:rPr>
        <w:t>,</w:t>
      </w:r>
      <w:r w:rsidRPr="000951F0">
        <w:rPr>
          <w:rFonts w:asciiTheme="majorBidi" w:eastAsia="Times New Roman" w:hAnsiTheme="majorBidi" w:cs="Times New Roman"/>
          <w:sz w:val="32"/>
          <w:szCs w:val="32"/>
          <w:rtl/>
          <w:lang w:bidi="ar-BH"/>
        </w:rPr>
        <w:t xml:space="preserve"> 8460 دينارا قيمة رسوم البلدية المستحقة في ذمته عن الفترة من 1/10/2000 إلى 31/8/2004 على سند من القول حاصله انه بموجب عقد إيجار مؤرخ في 1/10/2000 استأجر المطعون ضده من الشركة محل</w:t>
      </w:r>
      <w:r w:rsidRPr="000951F0">
        <w:rPr>
          <w:rFonts w:asciiTheme="majorBidi" w:eastAsia="Times New Roman" w:hAnsiTheme="majorBidi" w:cs="Times New Roman" w:hint="cs"/>
          <w:sz w:val="32"/>
          <w:szCs w:val="32"/>
          <w:rtl/>
          <w:lang w:bidi="ar-BH"/>
        </w:rPr>
        <w:t>ا</w:t>
      </w:r>
      <w:r w:rsidRPr="000951F0">
        <w:rPr>
          <w:rFonts w:asciiTheme="majorBidi" w:eastAsia="Times New Roman" w:hAnsiTheme="majorBidi" w:cs="Times New Roman"/>
          <w:sz w:val="32"/>
          <w:szCs w:val="32"/>
          <w:rtl/>
          <w:lang w:bidi="ar-BH"/>
        </w:rPr>
        <w:t xml:space="preserve"> لمدة ثلاث سنوات تبدأ من أكتوبر 2000، وقد تخلف المذكور عن سداد الرسوم المقررة ومقدارها 10% من القيمة الإيجارية الواردة بالعقد، وقد بلغت هذه الرسوم طبقا للائحة التنفيذية لقانون البلديات الصادر بالمرسوم رقم 35 لسنة 2001 المبلغ المطلوب، ولما كان هو الملتزم بسدادها إعمالا لعقد الإيجار المحرر مع المؤجر، وامتنع عن سداده فقد أقامت الدعوى. لم يحضر المطعون ضده، والمحكمة الكبرى حكمت برفض الدعوى، استأنفت الطاعنة الحكم بالاستئناف رقم 2510 لسنة 2013 أمام محكمة الاستئناف العليا المدنية</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التي حكمت بتأييده، فطعنت في حكمها بطريق التمييز، والمكتب الفني أودع مذكرة برأيه في الطعن.</w:t>
      </w:r>
    </w:p>
    <w:p w:rsidR="007F3C4B" w:rsidRPr="000951F0" w:rsidRDefault="007F3C4B" w:rsidP="007F3C4B">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 xml:space="preserve">وحيث إن الطعن أقيم على سبب واحد تنعى به الطاعنة على الحكم المطعون فيه مخالفة القانون والخطأ في تطبيقه والقصور في التسبيب والفساد في الاستدلال حين أيد الحكم الابتدائي فيما قضى برفض الدعوى لما ذهب إليه من خلو عقد الإيجار المقدم صورة منه من توقيع للمطعون ضده ملتفتا عما تمسكت به وقدمته إلى المحكمة من صورة من الكشف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 هيئة الكهرباء والماء وصورة من البيان المستخرج من الحاسب الآلي تدليلا على أن المطعون ضده هو شاغل المكان المفروض عليه الرسم بصفته مستأجرا له، و</w:t>
      </w:r>
      <w:r w:rsidRPr="000951F0">
        <w:rPr>
          <w:rFonts w:asciiTheme="majorBidi" w:eastAsia="Times New Roman" w:hAnsiTheme="majorBidi" w:cs="Times New Roman" w:hint="cs"/>
          <w:sz w:val="32"/>
          <w:szCs w:val="32"/>
          <w:rtl/>
          <w:lang w:bidi="ar-BH"/>
        </w:rPr>
        <w:t>ف</w:t>
      </w:r>
      <w:r w:rsidRPr="000951F0">
        <w:rPr>
          <w:rFonts w:asciiTheme="majorBidi" w:eastAsia="Times New Roman" w:hAnsiTheme="majorBidi" w:cs="Times New Roman"/>
          <w:sz w:val="32"/>
          <w:szCs w:val="32"/>
          <w:rtl/>
          <w:lang w:bidi="ar-BH"/>
        </w:rPr>
        <w:t>هو الملزم بأداء هذا الرسم وأن المطعون ضده لم يحضر في درجتي التقاضي ولم ينازع في أنه شاغل العين المؤجرة وهو ما يعيبه ويستوجب نقضه.</w:t>
      </w:r>
    </w:p>
    <w:p w:rsidR="007F3C4B" w:rsidRPr="000951F0" w:rsidRDefault="007F3C4B" w:rsidP="007F3C4B">
      <w:pPr>
        <w:spacing w:after="0" w:line="360" w:lineRule="auto"/>
        <w:ind w:firstLine="720"/>
        <w:jc w:val="both"/>
        <w:rPr>
          <w:rFonts w:asciiTheme="majorBidi" w:eastAsia="Times New Roman" w:hAnsiTheme="majorBidi" w:cs="Times New Roman"/>
          <w:sz w:val="32"/>
          <w:szCs w:val="32"/>
          <w:rtl/>
          <w:lang w:bidi="ar-BH"/>
        </w:rPr>
      </w:pPr>
      <w:r w:rsidRPr="000951F0">
        <w:rPr>
          <w:rFonts w:asciiTheme="majorBidi" w:eastAsia="Times New Roman" w:hAnsiTheme="majorBidi" w:cs="Times New Roman"/>
          <w:sz w:val="32"/>
          <w:szCs w:val="32"/>
          <w:rtl/>
          <w:lang w:bidi="ar-BH"/>
        </w:rPr>
        <w:t>وحيث إن هذا النعي في محله، ذلك أن مفاد المواد 43، 44، 45، 46، 47 من اللائحة التنفيذية لقانون البلديات رقم 35 لسنة 2001 أن جميع الأراضي والمباني والمنشآت الواقعة في نطاق كل بلدية تخضع للرسوم البلدية المقررة –</w:t>
      </w:r>
      <w:r w:rsidRPr="000951F0">
        <w:rPr>
          <w:rFonts w:asciiTheme="majorBidi" w:eastAsia="Times New Roman" w:hAnsiTheme="majorBidi" w:cs="Times New Roman" w:hint="cs"/>
          <w:sz w:val="32"/>
          <w:szCs w:val="32"/>
          <w:rtl/>
          <w:lang w:bidi="ar-BH"/>
        </w:rPr>
        <w:t xml:space="preserve"> </w:t>
      </w:r>
      <w:r w:rsidRPr="000951F0">
        <w:rPr>
          <w:rFonts w:asciiTheme="majorBidi" w:eastAsia="Times New Roman" w:hAnsiTheme="majorBidi" w:cs="Times New Roman"/>
          <w:sz w:val="32"/>
          <w:szCs w:val="32"/>
          <w:rtl/>
          <w:lang w:bidi="ar-BH"/>
        </w:rPr>
        <w:t xml:space="preserve">ما عدا ما تم اعفاؤه منها بقرار من مجلس الوزراء – وذلك تبعا لنوعية وطبيعة استغلال واشغال هذه الأراضي والمباني، وأن عبء الالتزام بأداء هذه الرسوم، يكون على شاغل الموقع الخاضع للرسم سواء كان هذا الشاغل من المواطنين أو من المقيمين في المملكة، ما لم يكن هناك اتفاق بين المالك والشاغل يقضي بغير ذلك، وتستحق هذه الرسوم شهريا وتحسب على جميع المواقع المؤجرة الخاضعة لهذا الرسم بواقع 10% من القيمة الإيجارية الشهرية الحقيقية التي تعتمدها البلدية للموقع المؤجر، أيا كانت طبيعة النشاط في ذلك الموقع وأيا كانت مدة الإيجار المحددة لها. لما كان ذلك، وكان البين من الاطلاع على كشف الحساب الصادر من هيئة الكهرباء والماء، وكذا البيان الصادر </w:t>
      </w:r>
      <w:r w:rsidRPr="000951F0">
        <w:rPr>
          <w:rFonts w:asciiTheme="majorBidi" w:eastAsia="Times New Roman" w:hAnsiTheme="majorBidi" w:cs="Times New Roman" w:hint="cs"/>
          <w:sz w:val="32"/>
          <w:szCs w:val="32"/>
          <w:rtl/>
          <w:lang w:bidi="ar-BH"/>
        </w:rPr>
        <w:t>ع</w:t>
      </w:r>
      <w:r w:rsidRPr="000951F0">
        <w:rPr>
          <w:rFonts w:asciiTheme="majorBidi" w:eastAsia="Times New Roman" w:hAnsiTheme="majorBidi" w:cs="Times New Roman"/>
          <w:sz w:val="32"/>
          <w:szCs w:val="32"/>
          <w:rtl/>
          <w:lang w:bidi="ar-BH"/>
        </w:rPr>
        <w:t>نها بقيمة الرسوم البلدية المستحقة على المحل المؤجر أن المطعون ضده هو شاغله بصفته مستأجرا له ابتداء من 1/10/2000، كما أن الثابت بعقد الإيجار الصادر له في الفقرة (ح) من المادة الثالثة الذي قدمت الطاعنة صورة مترجمة منه إلى اللغة العربية، إلى المحكمة أنه مستأجر المحل المشار إليه وأنه الملزم بسداد الرسوم البلدية المستحقة، وإذ لم يمثل المذكور وينازع فيما قدمته الطاعنة من أوراق رغم إعلانه بالدعوى، فإن الحكم الابتدائي إذ قضى برفض الدعوى قولا منه إن عقد الإيجار خلا من توقيع للمطعون ضده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يعرض لما قدمته الطاعنة من مستندات تقطع بأنه شاغل العين و</w:t>
      </w:r>
      <w:r w:rsidRPr="000951F0">
        <w:rPr>
          <w:rFonts w:asciiTheme="majorBidi" w:eastAsia="Times New Roman" w:hAnsiTheme="majorBidi" w:cs="Times New Roman" w:hint="cs"/>
          <w:sz w:val="32"/>
          <w:szCs w:val="32"/>
          <w:rtl/>
          <w:lang w:bidi="ar-BH"/>
        </w:rPr>
        <w:t xml:space="preserve">من </w:t>
      </w:r>
      <w:r w:rsidRPr="000951F0">
        <w:rPr>
          <w:rFonts w:asciiTheme="majorBidi" w:eastAsia="Times New Roman" w:hAnsiTheme="majorBidi" w:cs="Times New Roman"/>
          <w:sz w:val="32"/>
          <w:szCs w:val="32"/>
          <w:rtl/>
          <w:lang w:bidi="ar-BH"/>
        </w:rPr>
        <w:t>دون أن يقول كلمته فيها ويحدد مقدار الرسم المستحق فعلا فإنه يكون فضلا عن قصوره قد خالف القانون، وإذ أيده الحكم المطعون فيه لأسبابه فإنه يكون معيبا بما يوجب نقضه.</w:t>
      </w:r>
    </w:p>
    <w:p w:rsidR="007F3C4B" w:rsidRPr="000951F0" w:rsidRDefault="007F3C4B" w:rsidP="007F3C4B">
      <w:pPr>
        <w:spacing w:after="0" w:line="360" w:lineRule="auto"/>
        <w:ind w:firstLine="720"/>
        <w:jc w:val="both"/>
        <w:rPr>
          <w:rFonts w:asciiTheme="majorBidi" w:eastAsia="Times New Roman" w:hAnsiTheme="majorBidi" w:cs="Times New Roman"/>
          <w:sz w:val="32"/>
          <w:szCs w:val="32"/>
          <w:lang w:bidi="ar-BH"/>
        </w:rPr>
      </w:pPr>
      <w:r w:rsidRPr="000951F0">
        <w:rPr>
          <w:rFonts w:asciiTheme="majorBidi" w:eastAsia="Times New Roman" w:hAnsiTheme="majorBidi" w:cs="Times New Roman"/>
          <w:sz w:val="32"/>
          <w:szCs w:val="32"/>
          <w:rtl/>
          <w:lang w:bidi="ar-BH"/>
        </w:rPr>
        <w:t>وحيث إن المحكمة تلزم المطعون ضده بمصاريف الطعن.</w:t>
      </w:r>
    </w:p>
    <w:p w:rsidR="008D65A2" w:rsidRPr="007F3C4B" w:rsidRDefault="008D65A2">
      <w:bookmarkStart w:id="0" w:name="_GoBack"/>
      <w:bookmarkEnd w:id="0"/>
    </w:p>
    <w:sectPr w:rsidR="008D65A2" w:rsidRPr="007F3C4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420D"/>
    <w:multiLevelType w:val="hybridMultilevel"/>
    <w:tmpl w:val="FB4C28D2"/>
    <w:lvl w:ilvl="0" w:tplc="4D08AC2E">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09"/>
    <w:rsid w:val="0003272B"/>
    <w:rsid w:val="007F3C4B"/>
    <w:rsid w:val="008D65A2"/>
    <w:rsid w:val="00CB6D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C4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C4B"/>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2020-04-22T09:50:00Z</dcterms:created>
  <dcterms:modified xsi:type="dcterms:W3CDTF">2020-04-22T09:50:00Z</dcterms:modified>
</cp:coreProperties>
</file>