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78" w:rsidRPr="000758A9" w:rsidRDefault="00DF2978" w:rsidP="00DF2978">
      <w:pPr>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جلسة 6 من يونيو سنة 2017</w:t>
      </w:r>
    </w:p>
    <w:p w:rsidR="00DF2978" w:rsidRPr="000758A9" w:rsidRDefault="00DF2978" w:rsidP="00DF2978">
      <w:p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برئاسة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 المستشار أحمد حسن عبدالرازق وعضوية المستشارين/ محمد أبوالقاسم خليل،محمد محمد محمد الصياد ، أحمد علي يحيى.</w:t>
      </w:r>
    </w:p>
    <w:p w:rsidR="00DF2978" w:rsidRPr="000758A9" w:rsidRDefault="00DF2978" w:rsidP="00DF297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F2978" w:rsidRPr="000758A9" w:rsidRDefault="00DF2978" w:rsidP="00DF297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237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DF2978" w:rsidRPr="000758A9" w:rsidRDefault="00DF2978" w:rsidP="00DF297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193 لسنة 2016 </w:t>
      </w:r>
    </w:p>
    <w:p w:rsidR="00DF2978" w:rsidRPr="000758A9" w:rsidRDefault="00DF2978" w:rsidP="00DF2978">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(1-6) </w:t>
      </w:r>
      <w:r w:rsidRPr="000758A9">
        <w:rPr>
          <w:rFonts w:asciiTheme="majorBidi" w:hAnsiTheme="majorBidi" w:cstheme="majorBidi" w:hint="cs"/>
          <w:b/>
          <w:bCs/>
          <w:sz w:val="32"/>
          <w:szCs w:val="32"/>
          <w:u w:val="single"/>
          <w:rtl/>
          <w:lang w:bidi="ar-BH"/>
        </w:rPr>
        <w:t>إ</w:t>
      </w:r>
      <w:r w:rsidRPr="000758A9">
        <w:rPr>
          <w:rFonts w:asciiTheme="majorBidi" w:hAnsiTheme="majorBidi" w:cstheme="majorBidi"/>
          <w:b/>
          <w:bCs/>
          <w:sz w:val="32"/>
          <w:szCs w:val="32"/>
          <w:u w:val="single"/>
          <w:rtl/>
          <w:lang w:bidi="ar-BH"/>
        </w:rPr>
        <w:t xml:space="preserve">ثبات . حكم . خبرة . دعوى " وقف الدعوى " . شركات . غرفة البحرين لتسوية المنازعات . محكمة الموضوع . مسئولية .           </w:t>
      </w:r>
    </w:p>
    <w:p w:rsidR="00DF2978" w:rsidRPr="000758A9" w:rsidRDefault="00DF2978" w:rsidP="00DF297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هيئة تسوية المنازعات لها أن تأذن للمدع</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أو المدعى عليه أن يقدم أ</w:t>
      </w:r>
      <w:r w:rsidRPr="000758A9">
        <w:rPr>
          <w:rFonts w:asciiTheme="majorBidi" w:hAnsiTheme="majorBidi" w:cstheme="majorBidi" w:hint="cs"/>
          <w:sz w:val="32"/>
          <w:szCs w:val="32"/>
          <w:rtl/>
          <w:lang w:bidi="ar-BH"/>
        </w:rPr>
        <w:t>يا</w:t>
      </w:r>
      <w:r w:rsidRPr="000758A9">
        <w:rPr>
          <w:rFonts w:asciiTheme="majorBidi" w:hAnsiTheme="majorBidi" w:cstheme="majorBidi"/>
          <w:sz w:val="32"/>
          <w:szCs w:val="32"/>
          <w:rtl/>
          <w:lang w:bidi="ar-BH"/>
        </w:rPr>
        <w:t xml:space="preserve"> من الطلبات أو الدعاوى المتقابلة المشار إليها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المادتين 63، 64 من لائحة إجراءات تسوية المنازعات الصادرة بقرار وزير العدل رقم 65 لسنة 2009 . شرطه أن يكون ذلك لمواجهة ظروف طرأت أو تبينت بعد الأجل المحدد لتقديم هذه الطلبات بجدول المواعيد. م 65 من ذات اللائحة . خلوص الحكم المطعون فيه إلى رفض الدفع المبدى من الطاعنين بعدم قبول لائحة تعديل الطلبات المقدمة من المطعون ضدها وبقبولها تأسيسا على احتفاظ الأخيرة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لائحة دعواها بحقها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تعديل طلباتها بعد إيداع الخبير تقريره وأن الهيئة أذنت لها بتعديل طلباتها متضمنا تحديدا للمبالغ الت</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حولتها إلى حساب الطاعنة الأولى وانه أمر طارئ بعد الأجل المحدد لتقديم الطلبات بجدول المواعيد صحيح . النع</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عليه على غير أساس . </w:t>
      </w:r>
    </w:p>
    <w:p w:rsidR="00DF2978" w:rsidRPr="000758A9" w:rsidRDefault="00DF2978" w:rsidP="00DF297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مسئولية الشريك المتضامن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أمواله الخاصة عن</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ديون الشركة كافة ولو كان الدين محل المطالبة ثابتا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ذمة الشركة وحدها . م 36/أ مرسوم بق رقم 21 لسنة 2001 بإصدار قانون الشركات التجارية .  </w:t>
      </w:r>
    </w:p>
    <w:p w:rsidR="00DF2978" w:rsidRPr="000758A9" w:rsidRDefault="00DF2978" w:rsidP="00DF297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فهم الواقع فى الدعوى وتقدير قيمة ما يقدم إليها من أدلة ومستندات فيها والأخذ بما تطمئن إليه منها وإطراح ما عداه واستخلاص توافر الصفة ثبوتا ونفيا وتقدير عمل الخبير من سلطة محكمة الموضوع . لازمه إقامة قضا</w:t>
      </w:r>
      <w:r w:rsidRPr="000758A9">
        <w:rPr>
          <w:rFonts w:asciiTheme="majorBidi" w:hAnsiTheme="majorBidi" w:cstheme="majorBidi" w:hint="cs"/>
          <w:sz w:val="32"/>
          <w:szCs w:val="32"/>
          <w:rtl/>
          <w:lang w:bidi="ar-BH"/>
        </w:rPr>
        <w:t>ئ</w:t>
      </w:r>
      <w:r w:rsidRPr="000758A9">
        <w:rPr>
          <w:rFonts w:asciiTheme="majorBidi" w:hAnsiTheme="majorBidi" w:cstheme="majorBidi"/>
          <w:sz w:val="32"/>
          <w:szCs w:val="32"/>
          <w:rtl/>
          <w:lang w:bidi="ar-BH"/>
        </w:rPr>
        <w:t xml:space="preserve">ها على أسباب سائغة </w:t>
      </w:r>
      <w:r w:rsidRPr="000758A9">
        <w:rPr>
          <w:rFonts w:asciiTheme="majorBidi" w:hAnsiTheme="majorBidi" w:cstheme="majorBidi"/>
          <w:sz w:val="32"/>
          <w:szCs w:val="32"/>
          <w:rtl/>
          <w:lang w:bidi="ar-BH"/>
        </w:rPr>
        <w:lastRenderedPageBreak/>
        <w:t xml:space="preserve">ولها أصلها الثابت بالأوراق . عدم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لتزامها بإعادة المأمورية إلى الخبير السابق ندبه أو ندب خبير آخر . </w:t>
      </w:r>
    </w:p>
    <w:p w:rsidR="00DF2978" w:rsidRPr="000758A9" w:rsidRDefault="00DF2978" w:rsidP="00DF297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(4) قضاء الحكم المطعون فيه بإلزام الطاعنين بأن يؤدوا إلى المطعون ضدها بالتضامن المبلغ المقض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به وفائدته تأسيسا على ما خلص إليه من أوراق الدعوى وتقرير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الخبير الأصل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والتكميل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أن المطعون ضدها حولت المبالغ بها من حسابها إلى حساب الطاعنة الأولى بموجب رسائل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سويفت</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بهدف قيامها بإقراض هذه المبالغ لعملائها بموجب ضمانات تقدم وأنها دخلت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حسابها ولم يتم إقراضها لأحد وأنها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صطنعت كشوفا تتضمن مقترضين وضمانات وهمية لا وجود لها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الواقع ومسئوليتها عن رد تلك المبالغ مع باق</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الطاعنين ب</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عتبارهم شركاء متضامنين يسألون معها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ذممهم الخاصة عن ديونها صحيح  . النعى عليه على غير أساس .  </w:t>
      </w:r>
    </w:p>
    <w:p w:rsidR="00DF2978" w:rsidRPr="000758A9" w:rsidRDefault="00DF2978" w:rsidP="00DF297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(5) وقف الدعوى المدنية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نتظارا للفصل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الدعوى الجنائية. مناطه أن تكون الواقعة الجنائية لازمة للفصل فى الحق المدعى به. للمحكمة الفصل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الدعوى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لتفات إلى الواقعة الجنائية. لازمه وجود أسباب أخرى لدى المحكمة كافية للفصل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الدعوى</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توقف على مسألة جنائية .   </w:t>
      </w:r>
    </w:p>
    <w:p w:rsidR="00DF2978" w:rsidRPr="000758A9" w:rsidRDefault="00DF2978" w:rsidP="00DF2978">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6</w:t>
      </w:r>
      <w:r w:rsidRPr="000758A9">
        <w:rPr>
          <w:rFonts w:asciiTheme="majorBidi" w:hAnsiTheme="majorBidi" w:cstheme="majorBidi"/>
          <w:sz w:val="32"/>
          <w:szCs w:val="32"/>
          <w:rtl/>
          <w:lang w:bidi="ar-BH"/>
        </w:rPr>
        <w:t xml:space="preserve">) ثبوت عدم وجود أساس مشترك بين الدعوى الجنائية والدعوى المدنية الراهنة .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لتفات الحكم عن طلب الطاعنين وقف الدعوى لحين الفصل فى الدعوى الجنائية لا يعيبه . النع</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عليه فى هذا الخصوص</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غير أساس .</w:t>
      </w:r>
    </w:p>
    <w:p w:rsidR="00DF2978" w:rsidRPr="000758A9" w:rsidRDefault="00DF2978" w:rsidP="00DF2978">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F2978" w:rsidRPr="000758A9" w:rsidRDefault="00DF2978" w:rsidP="00DF2978">
      <w:pPr>
        <w:numPr>
          <w:ilvl w:val="0"/>
          <w:numId w:val="1"/>
        </w:num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المقرر انه لما كانت الفقرة الاولى من المادة 65 من لائحة اجراءات تسوية المنازعات الصادرة بقرار وزير العدل رقم 65 لسنة 2009 قد نصت على انه " يجوز للهيئة أن تأذن للمدعي او المدعى عليه بأن يقدم أيا من الطلبات العارضة او الدعاوى المتقابلة المشار اليها في المادتين 63، 64 من هذه اللائحة بشرط ان يكون ذلك لمواجهة ظروف طرأت او تبينت بعد الاجل المحدد لتقديم هذه الطلبات بجدول المواعيد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وكان الحكم المطعون فيه قد خلص الى رفض الدفع المبدى من الطاعنين بعدم قبول لائحة تعديل الطلبات المقدمة من المطعون ضدها وبقبولها تأسيسا على ان المطعون ضدها قد احتفظت في لائحة دعواها المبتدأة بحقها في تعديل طلباتها بعد ايداع الخبير الذي طلبت ندبه تقريره في الدعوى وهو ما علمه الطاعنون في حينه وان الهيئة أذنت للمطعون ضدها بتعديل طلباتها في الدعوى بعد ايداع الخبير تقريره فيها متضمنا تحديدا المبالغ التي حولتها الى حساب الطاعنة الاولى وهو امر طرأ بعد الاجل المحدد لتقديم الطلبات بجدول المواعيد ، وكان ما خلص اليه الحكم على هذا النحو وبنى عليه قضاءه سائغا وله اصل ثابت بالأوراق ويتفق وصحيح القانون فيكون النعي بهذا الوجه على غير اساس.</w:t>
      </w:r>
    </w:p>
    <w:p w:rsidR="00DF2978" w:rsidRPr="000758A9" w:rsidRDefault="00DF2978" w:rsidP="00DF2978">
      <w:pPr>
        <w:numPr>
          <w:ilvl w:val="0"/>
          <w:numId w:val="1"/>
        </w:num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المقرر وفقا لنص المادة 36 فقرة أ من المرسوم بقانون رقم 21 لسنة 2001 بإصدار قانون الشركات التجارية ان الشريك المتضامن يسأل في امواله الخاصة عن ديون الشركة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كافة فيكون مدينا متضامنا مع الشركة ولو كان الدين محل المطالبة ثابتا في ذمة الشركة وحدها .</w:t>
      </w:r>
    </w:p>
    <w:p w:rsidR="00DF2978" w:rsidRPr="000758A9" w:rsidRDefault="00DF2978" w:rsidP="00DF2978">
      <w:pPr>
        <w:numPr>
          <w:ilvl w:val="0"/>
          <w:numId w:val="1"/>
        </w:num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المقرر في قضاء هذه المحكمة ان لمحكمة الموضوع السلطة التامة في فهم الواقع في الدعوى وتقدير قيمة ما يقدم اليها من ادلة ومستندات فيها والاخذ بما تطمئن اليه منها واطراح ما عداها ولها في هذا الخصوص استخلاص توافر الصفة ثبوتا ونفيا وتقدير عمل الخبير متى اقامت قضاءها على اسباب سائغة لها اصلها الثابت بالأوراق وتكفي لحمله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ان تكون ملزمة بإعادة المأمورية الى الخبير السابق ندبه او ندب خبير اخر.</w:t>
      </w:r>
    </w:p>
    <w:p w:rsidR="00DF2978" w:rsidRPr="000758A9" w:rsidRDefault="00DF2978" w:rsidP="00DF2978">
      <w:pPr>
        <w:numPr>
          <w:ilvl w:val="0"/>
          <w:numId w:val="1"/>
        </w:num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 xml:space="preserve">إذ كان الحكم المطعون فيه قد خلص من اوراق الدعوى وتقريري الخبير الاصلي والتكميلي المقدمين فيها الى ان المطعون ضدها حولت المبالغ المطالب بها من حسابها الى حساب الطاعنة الاولى بموجب رسائل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سويفت</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بهدف ان تقرض الاخيرة هذه المبالغ لعملائها بموجب ضمانات تقدم لها منهم وان هذه المبالغ المحولة دخلت في حسابها ولم يتم اقراضها لأحد وانها اصطنعت كشوفا تتضمن مقترضين وضمانات وهمية لا وجود لها في الواقع ومن ثم تكون مسئولة عن رد تلك المبالغ بالتضامن مع باقي الطاعنين باعتبارهم شركاء متضامنين يسألون معها في ذممهم الخاصة عن ديونها، ولا يغير من ذلك ما يثيره الطاعنون من ان العقود الثلاثة المشار اليها بالنعي التي استندت اليها المطعون ضدها في دعواها موقعة من اشخاص ليسوا مخولين بالتوقيع من الطاعنة الاولى مادام الخبير قد انتهى الى ان قيمة هذه القروض الوهمية قد حولت الى حساب الطاعنة الاولى ولم تنازع في دخولها الى حسابها المحول عليه هذه المبالغ وسواء استخدمت هذه الأموال في تمويل انشطتها او خرجت من حسابها الى حساب جهات اخرى معلومة او غير معلومة فقد تم ذلك بفعلها او فعل او تواطؤ تابعيها فيكون ما يثار بشأن عدم توقيع ممثلها هذه العقود غير ذي اثر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التزامها برد المبالغ التي تسلمتها بالتضامن مع باقي الطاعنين ، ورتب الحكم على ذلك قضاءه برفض دفاع الطاعنين بانتفاء صفتهم في النزاع وبإلزامهم بالمبلغ المطالب به وفائدته، وكان ما خلص اليه الحكم على هذا النحو سائغا وله اصله الثابت بالأوراق ويكفي لحمل قضائه وفيه الرد الضمني المسقط لما اثاره الطاعنون من اعتراضات ولا عليه ان التفت عن طلب الطاعنين اعادة الدعوى للخبير او ندب خبير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خر طالما وجد في اوراق الدعوى ما يكفي لتكوين عقيدته للفصل فيها عملا بسلطته التقديرية في هذا الشأن ومن ثم يكون النعي بهذه ال</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وجه على غير اساس.</w:t>
      </w:r>
    </w:p>
    <w:p w:rsidR="00DF2978" w:rsidRPr="000758A9" w:rsidRDefault="00DF2978" w:rsidP="00DF2978">
      <w:pPr>
        <w:numPr>
          <w:ilvl w:val="0"/>
          <w:numId w:val="1"/>
        </w:num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المقرر ان مناط وقف الدعوى المدنية انتظار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للفصل في الدعوى الجنائية هو ان تكون الواقعة الجنائية لازمة للفصل في الحق المدعى به ف</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قام لدى المحكمة من ال</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سباب الاخرى ما يكفي للفصل في الدعوى</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توقف على مسألة جنائية فلا عليها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هي فصلت في الدعوى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التفات الى الواقعة الجنائية.</w:t>
      </w:r>
    </w:p>
    <w:p w:rsidR="00DF2978" w:rsidRPr="000758A9" w:rsidRDefault="00DF2978" w:rsidP="00DF2978">
      <w:pPr>
        <w:numPr>
          <w:ilvl w:val="0"/>
          <w:numId w:val="1"/>
        </w:numPr>
        <w:spacing w:after="0" w:line="360" w:lineRule="auto"/>
        <w:jc w:val="both"/>
        <w:rPr>
          <w:rFonts w:asciiTheme="majorBidi" w:hAnsiTheme="majorBidi" w:cstheme="majorBidi"/>
          <w:sz w:val="32"/>
          <w:szCs w:val="32"/>
          <w:lang w:bidi="ar-BH"/>
        </w:rPr>
      </w:pPr>
      <w:r w:rsidRPr="000758A9">
        <w:rPr>
          <w:rFonts w:asciiTheme="majorBidi" w:hAnsiTheme="majorBidi" w:cstheme="majorBidi"/>
          <w:sz w:val="32"/>
          <w:szCs w:val="32"/>
          <w:rtl/>
          <w:lang w:bidi="ar-BH"/>
        </w:rPr>
        <w:t xml:space="preserve">إذ كانت المطعون ضدها قد استندت في دعواها الى انه تم تحويل مبالغ مالية متعددة من حسابها الى حساب الطاعنة الاولى البنكي بموجب رسائل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سويفت</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بغرض ان تقرض الاخيرة تلك المبالغ لعملائها بموجب ضمانات تقدم اليها منهم وقد ثبت لها ـ اي المطعون ضدها ـ ان تلك القروض وهمية وهو ما اثبته الخبير المنتدب في تقريريه فلا يوجد اساس مشترك بين الدعوى الجنائية المشار اليها في النعي التي تدور الاتهامات فيها حول تزويد مصرف البحرين المركزي وبسوء نية بمعلومات وبيانات كاذبة ومضللة وتخالف حقيقة المركز المالي للمطعون ضدها واخفاء ملفات متعلقة بعمليات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قراض والاستيلاء على مكافآت اكثر مما هو مقرر من قبل بعض اعضاء مجلس ادارة ال</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خيرة ومديريها وبين الدعوى المدنية الراهنة... وأيا كانت نتيجة الحكم الذي سيصدر في الدعوى الجنائية سواء بإدانة المتهمين فيها مما اسند اليهم او براءتهم فان ذلك لا ينفي حقيقة ان مبالغ بقيمة القروض الوهمية تم تحويلها من حساب المطعون ضدها ودخلت فعلا في حساب الطاعنة الاولى فتكون مسئولة عن ردها بالتضامن مع باقي الطاعنين ـ الشركاء المتضامنين فيها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ـ على نحو ما سلف </w:t>
      </w:r>
      <w:r w:rsidRPr="000758A9">
        <w:rPr>
          <w:rFonts w:asciiTheme="majorBidi" w:hAnsiTheme="majorBidi" w:cstheme="majorBidi"/>
          <w:sz w:val="32"/>
          <w:szCs w:val="32"/>
          <w:rtl/>
        </w:rPr>
        <w:t>فانه</w:t>
      </w:r>
      <w:r w:rsidRPr="000758A9">
        <w:rPr>
          <w:rFonts w:asciiTheme="majorBidi" w:hAnsiTheme="majorBidi" w:cstheme="majorBidi"/>
          <w:sz w:val="32"/>
          <w:szCs w:val="32"/>
          <w:rtl/>
          <w:lang w:bidi="ar-BH"/>
        </w:rPr>
        <w:t xml:space="preserve"> لا يعيب الحكم التفاته عن طلب الطاعنين وقف الدعوى لحين الفصل في الدعوى الجنائية المذكورة ويضحى النعي عليه في هذا الخصوص على غير اساس.</w:t>
      </w:r>
    </w:p>
    <w:p w:rsidR="00DF2978" w:rsidRPr="000758A9" w:rsidRDefault="00DF2978" w:rsidP="00DF2978">
      <w:pPr>
        <w:tabs>
          <w:tab w:val="left" w:pos="1785"/>
          <w:tab w:val="left" w:pos="1852"/>
          <w:tab w:val="center" w:pos="4061"/>
        </w:tabs>
        <w:spacing w:after="0" w:line="360" w:lineRule="auto"/>
        <w:jc w:val="center"/>
        <w:rPr>
          <w:rFonts w:asciiTheme="majorBidi" w:hAnsiTheme="majorBidi" w:cstheme="majorBidi"/>
          <w:b/>
          <w:bCs/>
          <w:sz w:val="32"/>
          <w:szCs w:val="32"/>
          <w:rtl/>
        </w:rPr>
      </w:pPr>
      <w:r w:rsidRPr="000758A9">
        <w:rPr>
          <w:rFonts w:asciiTheme="majorBidi" w:hAnsiTheme="majorBidi" w:cstheme="majorBidi"/>
          <w:b/>
          <w:bCs/>
          <w:sz w:val="32"/>
          <w:szCs w:val="32"/>
          <w:rtl/>
          <w:lang w:bidi="ar-BH"/>
        </w:rPr>
        <w:t>المحكمة</w:t>
      </w:r>
      <w:r w:rsidRPr="000758A9">
        <w:rPr>
          <w:rFonts w:asciiTheme="majorBidi" w:hAnsiTheme="majorBidi" w:cstheme="majorBidi"/>
          <w:b/>
          <w:bCs/>
          <w:sz w:val="32"/>
          <w:szCs w:val="32"/>
          <w:rtl/>
        </w:rPr>
        <w:tab/>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حيث إن الطعن استوفى أوضاعه الشكلية.</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حيث إن الوقائع - على ما يبين من الحكم المطعون فيه وسائر الأوراق - تتحصل في ان المطعون ضدها اقامت على الطاعنين الدعوى رقم 11 لسنة 2014 امام غرفة البحرين لتسوية المنازعات الاقتصادية والمالية والاستثمارية بطلبات ختامية هي الزامهم بأن يؤدوا اليها بالتضامن مبلغ 35/1.575.202.002 دولار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أمريكي</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أو ما يعادله بالدينار البحريني وفوائده التأخيرية من تاريخ رفع الدعوى حتى السداد التام تأسيسا على انها مؤسسة مالية مرخص لها بممارسة اعمال البنوك وتم وضعها تحت الادارة بموجب قرار مصرف البحرين المركزي المؤرخ 30/7/2009 بسبب اعسارها ، وان الطاعنة الاولى شركة تضامن سعودية يديرها الطاعن الثاني وتمارس اعمالا تجارية متعددة ومن بينها الخدمات المالية التي افردت لها قسما خاصا بها وانها تمتلك نسبة 93% من مجموع الحصص في رأسمالها ـ اي المطعون ضدها ـ وباقي الحصص ومقدارها نسبة 7% تمتلكها شركة اخرى مصفاة والمملوكة بأكملها للطاعنة الاولى</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وان الطاعنين من الثاني الى الاخير شركاء متضامنون في الطاعنة الاولى وانه في غضون عام 2003 تم ابرام ثلاثة عقود بينها وبين الطاعنة الاولى – عقد وكالة وعقد امانة لحيازة الضمانات وعقد مستوى الخدمة – وبموجبها تولت الاخيرة تقديم عملاء للاقتراض منها والاشراف على مستندات عقود القروض وحيازة الضمانات التي يقدمها المقترضون ضمانا للقروض التي يحصلون عليها وادارة شئون هؤلاء العملاء فيما يتعلق بهذه القروض  الا انه تبين لها ان الطاعنة الاول</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قدمت لها اوراقا صورية مع عملاء مقترضين غير حقيقيين ترتب عليها ان حولت الى حسابها ـ اي الطاعنة ـ الاولى المبلغ المطالب به على عدة دفعات ولم تقم بتحصيل اي من المبالغ التي ادعت اقراضها لهؤلاء العملاء الذين اصطنعتهم ورقيا خلافا للواقع وانها حصلت على هذه المبالغ لنفسها ولحسابها واستأثرت بها بعد تحويلها الى حساباتها مما تكون معه مسئولة عن ردها بالتضامن مع باقي الطاعنين بصفتهم شركاء متضامنين فيها. واذ طلبت من الطاعنة الاولى سداد هذه المبالغ الا انها امتنعت فأقامت الدعوى. ندبت هيئة تسوية النزاع خبيرا وبعد ان اودع تقريريه الاصلي والتكميلي حكمت ب</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لزام الطاعنين بأن يؤدوا الى المطعون ضدها بالتضامن المبلغ المطالب به وفوائده التأخيرية بواقع 1% سنويا من تاريخ رفع الدعوى حتى السداد التام فطعن الطاعنون في هذا الحكم بطريق التمييز واودع المكتب الفني مذكرة برأيه في الطعن وإذ عرض الطعن على هذه المحكمة في غرفة مشورة فحددت جلسة لنظره.</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وحيث ان الطعن اقيم على سببين ينعى الطاعنون بالوجه الثالث من السبب الاول مخالفة الحكم المطعون فيه للقانون والخطأ في تطبيقه حين رفض الدفع المبدى منهم بعدم قبول لائحة تعديل الطلبات التي تقدمت بها المطعون ضدها امام الهيئة بعد انهاء مرحلة ادارة الدعوى والتي طلبت فيها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لزامهم بالمبلغ الذي انتهى الخبير المنتدب في الدعوى الى مديونتهم به ، وذلك بالرغم من عدم وجود ثمة ظروف طارئة حدثت بعد انتهاء الاجل المحدد لتقديم مثل هذا الطلب وهو ما يعيب الحكم ويستوجب نقضه.</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وحيث ان هذا النعي مردود، ذلك انه لما كانت الفقرة الاولى من المادة 65 من لائحة اجراءات تسوية المنازعات الصادرة بقرار وزير العدل رقم 65 لسنة 2009 قد نصت على انه " يجوز للهيئة أن تأذن للمدعي او المدعى عليه بأن يقدم أيا من الطلبات العارضة او الدعاوى المتقابلة المشار اليها في المادتين 63، 64 من هذه اللائحة بشرط ان يكون ذلك لمواجهة ظروف طرأت او تبينت بعد الاجل المحدد لتقديم هذه الطلبات بجدول المواعيد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وكان الحكم المطعون فيه قد خلص الى رفض الدفع المبدى من الطاعنين بعدم قبول لائحة تعديل الطلبات المقدمة من المطعون ضدها وبقبولها تأسيسا على ان المطعون ضدها قد احتفظت في لائحة دعواها المبتدأة بحقها في تعديل طلباتها بعد ايداع الخبير الذي طلبت ندبه تقريره في الدعوى</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وهو ما علمه الطاعنون في حينه وان الهيئة أذنت للمطعون ضدها بتعديل طلباتها في الدعوى بعد ايداع الخبير تقرير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فيها متضمن</w:t>
      </w:r>
      <w:r w:rsidRPr="000758A9">
        <w:rPr>
          <w:rFonts w:asciiTheme="majorBidi" w:hAnsiTheme="majorBidi" w:cstheme="majorBidi" w:hint="cs"/>
          <w:sz w:val="32"/>
          <w:szCs w:val="32"/>
          <w:rtl/>
          <w:lang w:bidi="ar-BH"/>
        </w:rPr>
        <w:t>ين</w:t>
      </w:r>
      <w:r w:rsidRPr="000758A9">
        <w:rPr>
          <w:rFonts w:asciiTheme="majorBidi" w:hAnsiTheme="majorBidi" w:cstheme="majorBidi"/>
          <w:sz w:val="32"/>
          <w:szCs w:val="32"/>
          <w:rtl/>
          <w:lang w:bidi="ar-BH"/>
        </w:rPr>
        <w:t xml:space="preserve"> تحديدا </w:t>
      </w:r>
      <w:r w:rsidRPr="000758A9">
        <w:rPr>
          <w:rFonts w:asciiTheme="majorBidi" w:hAnsiTheme="majorBidi" w:cstheme="majorBidi" w:hint="cs"/>
          <w:sz w:val="32"/>
          <w:szCs w:val="32"/>
          <w:rtl/>
          <w:lang w:bidi="ar-BH"/>
        </w:rPr>
        <w:t>لل</w:t>
      </w:r>
      <w:r w:rsidRPr="000758A9">
        <w:rPr>
          <w:rFonts w:asciiTheme="majorBidi" w:hAnsiTheme="majorBidi" w:cstheme="majorBidi"/>
          <w:sz w:val="32"/>
          <w:szCs w:val="32"/>
          <w:rtl/>
          <w:lang w:bidi="ar-BH"/>
        </w:rPr>
        <w:t>مبالغ التي حولتها الى حساب الطاعنة الاولى وهو امر طرأ بعد الاجل المحدد لتقديم الطلبات بجدول المواعيد ، وكان ما خلص اليه الحكم على هذا النحو وبنى عليه قضاءه سائغا وله اصل ثابت بالأوراق ويتفق وصحيح القانون فيكون النعي بهذا الوجه على غير اساس.</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وحيث ان الطاعنين ينعون بالوجهين الاول والثاني من السبب الاول والوجه الاول من السبب الثاني مخالفة الحكم المطعون فيه للقانون والخطأ في تطبيقه والاخلال بحق الدفاع، ذلك انهم تمسكوا امام محكمة الموضوع بانتفاء صفتهم في الدعوى لأن العقود الثلاثة التي اس</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ندت اليها المطعون ضدها في دعواها والمتمثلة في عقد وكالة التوزيع والتحصيل المؤرخ 22/5/2003 وعقد الامانة لحيازة الضمانات المؤرخ 25/5/2003</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عن عقد مستوى الخدمة المؤرخ 1/7/2003 غير موقعة من المخولين بالتوقيع عن الطاعنة الاولى وانها لم تعلم بأمر هذه العقود او تجزها ولا يكفي تحويل مبالغ في حسابها لإلزامها بها، ذلك أن المطعون ضدها كانت تقترض من البنوك بهدف ارسال اموال الى مركز الصرافة التابع لمجموعة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وهو عضو مجلس ادارة المطعون ضدها على خلاف القواعد المقررة مستغلة في ذلك الطاعنة الاولى بعد اصطناع عمليات اقراض وهمية لعملاء لها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ان تعلم شيئا عن ذلك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عن ان باقي الطاعنين مجرد شركاء في الشركة الطاعنة الاولى ولا يجوز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لزامهم الا في حدود قيمة اسهم كل منهم فقط </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واذ اطرح الحكم هذا الدفاع وطلبهم اعادة الدعوى للخبير السابق ندبه او ندب خبير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خر لتتبع حركة هذه القروض الوهمية من وقت خروجها من المطعون ضدها وتحديد المستفيدين منها، وانتهى الى توافر صفتهم في الدعوى والزامهم برد المبالغ المطالب بها بمقولة انها حولت الى حساب الشركة الطاعنة الاولى فتكون ملزمة وباقي الطاعنين بأدائها للمطعون ضدها فانه يكون معيبا بما يستوجب نقضه.</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وحيث ان هذا النعي مردود، ذلك ان المقرر وفقا لنص المادة 36 فقرة أ من المرسوم بقانون رقم 21 لسنة 2001 بإصدار قانون الشركات التجارية ان الشريك المتضامن يسأل في امواله الخاصة عن ديون الشركة كافة فيكون مدينا متضامنا مع الشركة ولو كان الدين محل المطالبة ثابتا في ذمة الشركة وحدها، كما انه من المقرر في قضاء هذه المحكمة ان لمحكمة الموضوع السلطة التامة في فهم الواقع في الدعوى وتقدير قيمة ما يقدم اليها من ادلة ومستندات فيها والاخذ بما تطمئن اليه منها واطراح ما عداها ولها في هذا الخصوص استخلاص توافر الصفة ثبوتا ونفيا وتقدير عمل الخبير متى اقامت قضاءها على اسباب سائغة لها اصلها الثابت بالأوراق وتكفي لحمله و</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ان تكون ملزمة بإعادة المأمورية الى الخبير السابق ندبه او ندب خبير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 xml:space="preserve">خر . لما كان ذلك وكان الحكم المطعون فيه قد خلص من اوراق الدعوى وتقريري الخبير الاصلي والتكميلي المقدمين فيها الى ان المطعون ضدها حولت المبالغ المطالب بها من حسابها الى حساب الطاعنة الاولى بموجب رسائل سويفت بهدف ان تقرض الاخيرة هذه المبالغ لعملائها بموجب ضمانات تقدم لها منهم وان هذه المبالغ المحولة دخلت في حسابها ولم يتم اقراضها لأحد وانها اصطنعت كشوفا تتضمن مقترضين وضمانات وهمية لا وجود لها في الواقع ومن ثم تكون مسئولة عن رد تلك المبالغ بالتضامن مع باقي الطاعنين باعتبارهم شركاء متضامنين يسألون معها في ذممهم الخاصة عن ديونها، ولا يغير من ذلك ما يثيره الطاعنون من ان العقود الثلاثة المشار اليها بالنعي التي استندت اليها المطعون ضدها في دعواها موقعة من اشخاص ليسوا مخولين بالتوقيع من الطاعنة الاولى مادام الخبير قد انتهى الى ان قيمة هذه القروض الوهمية قد حولت الى حساب الطاعنة الاولى ولم تنازع في دخولها الى حسابها المحول عليه هذه المبالغ وسواء استخدمت هذه الأموال في تمويل انشطتها او خرجت من حسابها الى حساب جهات اخرى معلومة او غير معلومة فقد تم ذلك بفعلها او فعل او تواطؤ تابعيها فيكون ما يثار بشأن عدم توقيع ممثلها هذه العقود غير ذي اثر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التزامها برد المبالغ التي تسلمتها وذلك بالتضامن مع باقي الطاعنين ، ورتب الحكم على ذلك قضاءه برفض دفاع الطاعنين بانتفاء صفتهم في النزاع وبإلزامهم بالمبلغ المطالب به وفائدته، وكان ما خلص اليه الحكم على هذا النحو سائغا وله اصله الثابت بالأوراق ويكفي لحمل قضائه وفيه الرد الضمني المسقط لما اثاره الطاعنون من اعتراضات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لا عليه ان التفت عن طلب الطاعنين اعادة الدعوى للخبير او ندب خبير اخر طالما وجد في اوراق الدعوى ما يكفي لتكوين عقيدته للفصل فيها عملا بسلطته التقديرية في هذا الشأن ومن ثم يكون النعي بهذه ال</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وجه على غير اساس.</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وحيث ينعى الطاعنون بالوجه الثاني من السبب الثاني على الحكم المطعون فيه الإخلال بحق الدفاع حين رفض طلبهم وقف الدعوى تعليقا لحين الفصل في الدعوى الجنائية رقم 2850 لسنة 2011 المنظورة امام المحكمة الصغرى الجنائية المقامة من النيابة العامة ضد بعض اعضاء مجلس ادارة الشركة المطعون ضدها ومديريها بسبب المخالفات التي ارتكبوها والتي ادت الى اعسارها ووضعها تحت ادارة مصرف البحرين المركزي رغم وجود ارتباط بينها وبين الدعوى المدنية الراهنة وهو ما يعيب الحكم ويستوجب نقضه.</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وحيث ان هذا النعي مردود، ذلك انه لما كان من المقرر ان مناط وقف الدعوى المدنية انتظار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للفصل في الدعوى الجنائية هو ان تكون الواقعة الجنائية لازمة للفصل في الحق المدعى به فان قام لدى المحكمة من الاسباب الاخرى ما يكفي للفصل في الدعوى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توقف على مسألة جنائية فلا عليها ان هي فصلت في الدعوى</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التفات الى الواقعة الجنائية. لما كان ذلك وكانت المطعون ضدها قد استندت في دعواها الى انه تم تحويل مبالغ مالية متعددة من حسابها الى حساب الطاعنة الاولى البنكي بموجب رسائل سويفت بغرض ان تقرض الاخيرة تلك المبالغ لعملائها بموجب ضمانات تقدم اليها منهم وقد ثبت لها ـ اي المطعون ضدها ـ ان تلك القروض وهمية وهو ما اثبته الخبير المنتدب في تقريريه </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فلا يوجد اساس مشترك بين الدعوى الجنائية المشار اليها في النعي التي تدور الاتهامات فيها حول تزويد مصرف البحرين المركزي وبسوء نية بمعلومات وبيانات كاذبة ومضللة وتخالف حقيقة المركز المالي للمطعون ضدها واخفاء ملفات متعلقة بعمليات الاقراض والاستيلاء على مكافآت اكثر مما هو مقرر من قبل بعض اعضاء مجلس ادارة الاخيرة ومديريها وبين الدعوى المدنية الراهنة... وأيا كانت نتيجة الحكم الذي سيصدر في الدعوى الجنائية سواء بإدانة المتهمين فيها مما اسند اليهم او براءتهم فان ذلك لا ينفي حقيقة ان مبالغ بقيمة القروض الوهمية تم تحويلها من حساب المطعون ضدها ودخلت فعلا في حساب الطاعنة الاولى فتكون مسئولة عن ردها بالتضامن مع باقي الطاعنين ـ الشركاء المتضامنين فيها ـ على نحو ما سلف </w:t>
      </w:r>
      <w:r w:rsidRPr="000758A9">
        <w:rPr>
          <w:rFonts w:asciiTheme="majorBidi" w:hAnsiTheme="majorBidi" w:cstheme="majorBidi"/>
          <w:sz w:val="32"/>
          <w:szCs w:val="32"/>
          <w:rtl/>
        </w:rPr>
        <w:t>فانه</w:t>
      </w:r>
      <w:r w:rsidRPr="000758A9">
        <w:rPr>
          <w:rFonts w:asciiTheme="majorBidi" w:hAnsiTheme="majorBidi" w:cstheme="majorBidi"/>
          <w:sz w:val="32"/>
          <w:szCs w:val="32"/>
          <w:rtl/>
          <w:lang w:bidi="ar-BH"/>
        </w:rPr>
        <w:t xml:space="preserve"> لا يعيب الحكم التفاته عن طلب الطاعنين وقف الدعوى لحين الفصل في الدعوى الجنائية المذكورة ويضحى النعي عليه في هذا الخصوص على غير اساس.</w:t>
      </w:r>
    </w:p>
    <w:p w:rsidR="00DF2978" w:rsidRPr="000758A9" w:rsidRDefault="00DF2978" w:rsidP="00DF2978">
      <w:pPr>
        <w:spacing w:after="0" w:line="360" w:lineRule="auto"/>
        <w:ind w:firstLine="720"/>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وحيث انه لما تقدم يتعين رفض الطعن مع إلزام الطاعنين بالمصاريف ومائة دينار مقابل اتعاب المحاماة مع مصادرة الكفالة.</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5D71"/>
    <w:multiLevelType w:val="hybridMultilevel"/>
    <w:tmpl w:val="8D1AB7FA"/>
    <w:lvl w:ilvl="0" w:tplc="DAAECE50">
      <w:start w:val="1"/>
      <w:numFmt w:val="decimal"/>
      <w:lvlText w:val="%1-"/>
      <w:lvlJc w:val="left"/>
      <w:pPr>
        <w:ind w:left="1080" w:hanging="360"/>
      </w:pPr>
      <w:rPr>
        <w:rFonts w:hint="default"/>
        <w:lang w:bidi="ar-B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A8"/>
    <w:rsid w:val="0003272B"/>
    <w:rsid w:val="00A232C2"/>
    <w:rsid w:val="00C749A8"/>
    <w:rsid w:val="00DF2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78"/>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78"/>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2473</Words>
  <Characters>14098</Characters>
  <Application>Microsoft Office Word</Application>
  <DocSecurity>0</DocSecurity>
  <Lines>117</Lines>
  <Paragraphs>33</Paragraphs>
  <ScaleCrop>false</ScaleCrop>
  <Company/>
  <LinksUpToDate>false</LinksUpToDate>
  <CharactersWithSpaces>16538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2020-04-21T11:35:00Z</dcterms:created>
  <dcterms:modified xsi:type="dcterms:W3CDTF">2020-04-21T11:35:00Z</dcterms:modified>
</cp:coreProperties>
</file>