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21" w:rsidRPr="000C44E7" w:rsidRDefault="00AF6621" w:rsidP="00AF6621">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10 من يناير سنة 2017</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lang w:bidi="ar-BH"/>
        </w:rPr>
        <w:t xml:space="preserve">    </w:t>
      </w:r>
      <w:r w:rsidRPr="000C44E7">
        <w:rPr>
          <w:rFonts w:asciiTheme="majorBidi" w:hAnsiTheme="majorBidi" w:cstheme="majorBidi"/>
          <w:sz w:val="32"/>
          <w:szCs w:val="32"/>
          <w:rtl/>
          <w:lang w:bidi="ar-BH"/>
        </w:rPr>
        <w:t xml:space="preserve">برئاسة </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المستشار طه عبدالمول</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طه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نادر السيد علي عبدالمطلب</w:t>
      </w:r>
      <w:r w:rsidRPr="000C44E7">
        <w:rPr>
          <w:rFonts w:asciiTheme="majorBidi" w:hAnsiTheme="majorBidi" w:cstheme="majorBidi" w:hint="cs"/>
          <w:sz w:val="32"/>
          <w:szCs w:val="32"/>
          <w:rtl/>
          <w:lang w:bidi="ar-BH"/>
        </w:rPr>
        <w:t xml:space="preserve">، إبراهيم </w:t>
      </w:r>
      <w:r w:rsidRPr="000C44E7">
        <w:rPr>
          <w:rFonts w:asciiTheme="majorBidi" w:hAnsiTheme="majorBidi" w:cstheme="majorBidi"/>
          <w:sz w:val="32"/>
          <w:szCs w:val="32"/>
          <w:rtl/>
          <w:lang w:bidi="ar-BH"/>
        </w:rPr>
        <w:t xml:space="preserve">محمد المرصفاوي ،عدنان عبدالله الشيخ هزيم الشامسي </w:t>
      </w:r>
    </w:p>
    <w:p w:rsidR="00AF6621" w:rsidRPr="000C44E7" w:rsidRDefault="00AF6621" w:rsidP="00AF6621">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AF6621" w:rsidRPr="000C44E7" w:rsidRDefault="00AF6621" w:rsidP="00AF6621">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6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AF6621" w:rsidRPr="000C44E7" w:rsidRDefault="00AF6621" w:rsidP="00AF6621">
      <w:pPr>
        <w:bidi/>
        <w:spacing w:after="0" w:line="360" w:lineRule="auto"/>
        <w:jc w:val="both"/>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أولا</w:t>
      </w:r>
      <w:r w:rsidRPr="000C44E7">
        <w:rPr>
          <w:rFonts w:asciiTheme="majorBidi" w:hAnsiTheme="majorBidi" w:cstheme="majorBidi" w:hint="cs"/>
          <w:b/>
          <w:bCs/>
          <w:sz w:val="32"/>
          <w:szCs w:val="32"/>
          <w:rtl/>
          <w:lang w:bidi="ar-BH"/>
        </w:rPr>
        <w:t xml:space="preserve"> :</w:t>
      </w:r>
      <w:r w:rsidRPr="000C44E7">
        <w:rPr>
          <w:rFonts w:asciiTheme="majorBidi" w:hAnsiTheme="majorBidi" w:cstheme="majorBidi"/>
          <w:b/>
          <w:bCs/>
          <w:sz w:val="32"/>
          <w:szCs w:val="32"/>
          <w:rtl/>
          <w:lang w:bidi="ar-BH"/>
        </w:rPr>
        <w:t xml:space="preserve"> الطعن رقم 197 لسنة 2015:</w:t>
      </w:r>
    </w:p>
    <w:p w:rsidR="00AF6621" w:rsidRPr="000C44E7" w:rsidRDefault="00AF6621" w:rsidP="00AF6621">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(1 -2) شركات . عمل . محكمة الموضوع .  </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 الشريك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الشركة . إسناد عمل إليه بناء على تكليف من المدير المسئول أو بمقتضى النظام الاساس</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للشركة مقابل أجر .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عتباره عاملا . عدم وجود ما يمنع قانونا من الجمع بين صفت</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الشريك والعامل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شخص واحد . التحقق من ثبوت علاقة العمل و</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نتفائها . منوط بمحكمة الموضوع . لازمه أن يكون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ستخلاصها سائغاً وتقديرها مقبولا له أصله الثابت بالأوراق .   </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قضاء الحكم المطعون فيه بالتعويض للمطعون ضده تأسيسا على ثبوت علاقة العمل بينه وبين الطاعنة وأن صفته كشريك لا تمنع من وجود تلك العلاقة وترتيب آثارها القانونية . صحيح . ما تثيره الطاعنة بسبب</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الطعن غير مقبول .  </w:t>
      </w:r>
    </w:p>
    <w:p w:rsidR="00AF6621" w:rsidRPr="000C44E7" w:rsidRDefault="00AF6621" w:rsidP="00AF6621">
      <w:pPr>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ثانيا</w:t>
      </w:r>
      <w:r w:rsidRPr="000C44E7">
        <w:rPr>
          <w:rFonts w:asciiTheme="majorBidi" w:hAnsiTheme="majorBidi" w:cstheme="majorBidi" w:hint="cs"/>
          <w:b/>
          <w:bCs/>
          <w:sz w:val="32"/>
          <w:szCs w:val="32"/>
          <w:rtl/>
          <w:lang w:bidi="ar-BH"/>
        </w:rPr>
        <w:t xml:space="preserve"> :</w:t>
      </w:r>
      <w:r w:rsidRPr="000C44E7">
        <w:rPr>
          <w:rFonts w:asciiTheme="majorBidi" w:hAnsiTheme="majorBidi" w:cstheme="majorBidi"/>
          <w:b/>
          <w:bCs/>
          <w:sz w:val="32"/>
          <w:szCs w:val="32"/>
          <w:rtl/>
          <w:lang w:bidi="ar-BH"/>
        </w:rPr>
        <w:t xml:space="preserve"> الطعن رقم 185 لسنة 2015:</w:t>
      </w:r>
    </w:p>
    <w:p w:rsidR="00AF6621" w:rsidRPr="000C44E7" w:rsidRDefault="00AF6621" w:rsidP="00AF6621">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(3 -4) حكم " عيوب التدليل : مخالفة الثابت بالأوراق - مخالفة القانون- الخطأ فى تطبيقه " . عمل .   </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(3) حقوق العامل المتعلقة بمكافأة نهاية الخدمة ومقابل رصيد الاجازات السنوية والتعويض .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حتسابها على أساس الأجر الأساس</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الأخير للعامل مضافا إليه العلاوة الاجتماعية إن وجدت .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حتسابها بمتوسط أجر العامل خلال الأشهرالثلاثة الأخيرة إن كان العامل ممن يعملون القطعة أو بالانتاج أو يتقاضى اجرا ثابتا مضافا إليه عمولة أو نسبة مئوية . م 47 ق العمل 36 لسنة 2012 . المنشآت الت</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تضع </w:t>
      </w:r>
      <w:r w:rsidRPr="000C44E7">
        <w:rPr>
          <w:rFonts w:asciiTheme="majorBidi" w:hAnsiTheme="majorBidi" w:cstheme="majorBidi" w:hint="cs"/>
          <w:sz w:val="32"/>
          <w:szCs w:val="32"/>
          <w:rtl/>
          <w:lang w:bidi="ar-BH"/>
        </w:rPr>
        <w:t>ل</w:t>
      </w:r>
      <w:r w:rsidRPr="000C44E7">
        <w:rPr>
          <w:rFonts w:asciiTheme="majorBidi" w:hAnsiTheme="majorBidi" w:cstheme="majorBidi"/>
          <w:sz w:val="32"/>
          <w:szCs w:val="32"/>
          <w:rtl/>
          <w:lang w:bidi="ar-BH"/>
        </w:rPr>
        <w:t xml:space="preserve">عمالها جدولا للأجور.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حتساب هذه الحقوق على أساس الأجر الأساس</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الأخير للعامل مضافا إليه علاوة غلاء المعيشة وأعباء العائلة .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تخاذ مجموع الأجر النقد</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الأخير 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w:t>
      </w:r>
      <w:r w:rsidRPr="000C44E7">
        <w:rPr>
          <w:rFonts w:asciiTheme="majorBidi" w:hAnsiTheme="majorBidi" w:cstheme="majorBidi"/>
          <w:sz w:val="32"/>
          <w:szCs w:val="32"/>
          <w:rtl/>
          <w:lang w:bidi="ar-BH"/>
        </w:rPr>
        <w:lastRenderedPageBreak/>
        <w:t>يصرف للعامل بصفة دورية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غير هذه الحالات أساسا لحساب هذه الحقوق . م 67 من ذات القانون .    </w:t>
      </w:r>
    </w:p>
    <w:p w:rsidR="00AF6621" w:rsidRPr="000C44E7" w:rsidRDefault="00AF6621" w:rsidP="00AF6621">
      <w:pPr>
        <w:bidi/>
        <w:spacing w:after="0" w:line="360" w:lineRule="auto"/>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 (4) ثبوت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نتهاء علاقة العمل بين الطاعن والمطعون ضدها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ظل العمل بقانون العمل الجديد و</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حتساب حقه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w:t>
      </w:r>
      <w:r w:rsidRPr="000C44E7">
        <w:rPr>
          <w:rFonts w:asciiTheme="majorBidi" w:hAnsiTheme="majorBidi" w:cstheme="majorBidi" w:hint="cs"/>
          <w:sz w:val="32"/>
          <w:szCs w:val="32"/>
          <w:rtl/>
          <w:lang w:bidi="ar-BH"/>
        </w:rPr>
        <w:t>ال</w:t>
      </w:r>
      <w:r w:rsidRPr="000C44E7">
        <w:rPr>
          <w:rFonts w:asciiTheme="majorBidi" w:hAnsiTheme="majorBidi" w:cstheme="majorBidi"/>
          <w:sz w:val="32"/>
          <w:szCs w:val="32"/>
          <w:rtl/>
          <w:lang w:bidi="ar-BH"/>
        </w:rPr>
        <w:t xml:space="preserve">تعويض وبدل الاجازة السنوية على مبلغ 777 دينارا أخذا من خطاب المطعون ضدها. مخالفة الحكم المطعون فيه هذا النظر . مخالفة وخطأ.   </w:t>
      </w:r>
      <w:r w:rsidRPr="000C44E7">
        <w:rPr>
          <w:rFonts w:asciiTheme="majorBidi" w:hAnsiTheme="majorBidi" w:cstheme="majorBidi"/>
          <w:b/>
          <w:bCs/>
          <w:sz w:val="32"/>
          <w:szCs w:val="32"/>
          <w:rtl/>
          <w:lang w:bidi="ar-BH"/>
        </w:rPr>
        <w:tab/>
      </w:r>
    </w:p>
    <w:p w:rsidR="00AF6621" w:rsidRPr="000C44E7" w:rsidRDefault="00AF6621" w:rsidP="00AF6621">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F6621" w:rsidRPr="000C44E7" w:rsidRDefault="00AF6621" w:rsidP="00AF6621">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المقرر أنه إذا أُسند إلى الشريك في الشركة عمل بناء على تكليف من المدير المسئول او بمقتضى النظام الاساسي للشركة مقابل اجر فإنه يعتبر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 xml:space="preserve">ى </w:t>
      </w:r>
      <w:r w:rsidRPr="000C44E7">
        <w:rPr>
          <w:rFonts w:asciiTheme="majorBidi" w:hAnsiTheme="majorBidi" w:cstheme="majorBidi"/>
          <w:sz w:val="32"/>
          <w:szCs w:val="32"/>
          <w:rtl/>
          <w:lang w:bidi="ar-BH"/>
        </w:rPr>
        <w:t xml:space="preserve">هذه العلاقة عاملا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إذ لا يوجد في القانون ما يمنع من الجمع بين صفتي الشريك والعامل في شخص واحد .</w:t>
      </w:r>
    </w:p>
    <w:p w:rsidR="00AF6621" w:rsidRPr="000C44E7" w:rsidRDefault="00AF6621" w:rsidP="00AF6621">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محكمة الموضوع هي المنوط بها التحقق من ثبوت علاقة العمل وانتفائها باعتبار ان ذلك من امور الواقع متى كان استخلاصها سائغا وتقديرها مقبولا له أصله الثابت بالأوراق .</w:t>
      </w:r>
    </w:p>
    <w:p w:rsidR="00AF6621" w:rsidRPr="000C44E7" w:rsidRDefault="00AF6621" w:rsidP="00AF6621">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من المقرر طبقا لنص المادة 47 من قانون العمل رقم 36 لسنة 2012 – الذي يخضع له النزاع – ان حقوق العامل المتعلقة بمكافأة نهاية الخدمة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ومقابل رصيد الإجازات السنوية المنصوص عليها في المادة 59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والتعويض المستحق طبقا لأحكام الفقرة ب من المادة 99 والمادة 111 من هذا القانون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تحتسب على أساس الأجر الأساسي الأخير للعامل مضافا إليه العلاوة الاجتماعية إن وجدت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فإذا كان العامل ممن يعملون بالقطعة أو بالإنتاج أو يتقاضى أجرا ثابتا مضافا إليه عمولة او نسبة مئوية اعتد في حساب </w:t>
      </w:r>
      <w:r w:rsidRPr="000C44E7">
        <w:rPr>
          <w:rFonts w:asciiTheme="majorBidi" w:hAnsiTheme="majorBidi" w:cstheme="majorBidi" w:hint="cs"/>
          <w:sz w:val="32"/>
          <w:szCs w:val="32"/>
          <w:rtl/>
          <w:lang w:bidi="ar-BH"/>
        </w:rPr>
        <w:t>هذه</w:t>
      </w:r>
      <w:r w:rsidRPr="000C44E7">
        <w:rPr>
          <w:rFonts w:asciiTheme="majorBidi" w:hAnsiTheme="majorBidi" w:cstheme="majorBidi"/>
          <w:sz w:val="32"/>
          <w:szCs w:val="32"/>
          <w:rtl/>
          <w:lang w:bidi="ar-BH"/>
        </w:rPr>
        <w:t xml:space="preserve"> الحقوق متوسط اجر العامل خلال الاشهر الثلاثة الأخيرة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وقد نحا قانون العمل الجديد منحى مغايرا لما كان عليه الحال في قانون العمل السابق فيما يتعلق بطريقة احتساب حقوق العامل الناشئة عن القانون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طبقا للمادة 67 منه فإنه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ى ا</w:t>
      </w:r>
      <w:r w:rsidRPr="000C44E7">
        <w:rPr>
          <w:rFonts w:asciiTheme="majorBidi" w:hAnsiTheme="majorBidi" w:cstheme="majorBidi"/>
          <w:sz w:val="32"/>
          <w:szCs w:val="32"/>
          <w:rtl/>
          <w:lang w:bidi="ar-BH"/>
        </w:rPr>
        <w:t xml:space="preserve">لمنشآت التي تضع لعمالها جدولا للأجور يمنحون بمقتضاه علاوات دورية يتم احتساب هذه الحقوق على اساس الأجر الأساسي الأخير للعامل مضافا إليه علاوة غلاء المعيشة وعلاوة أعباء العائلة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وفي غير هذه الحالات يتخذ مجموع الأجر النقدي الأخير الذي يصرف للعامل بصفة دورية ومنتظمة أساسا لحساب هذه الحقوق .</w:t>
      </w:r>
    </w:p>
    <w:p w:rsidR="00AF6621" w:rsidRPr="000C44E7" w:rsidRDefault="00AF6621" w:rsidP="00AF6621">
      <w:pPr>
        <w:numPr>
          <w:ilvl w:val="0"/>
          <w:numId w:val="1"/>
        </w:numPr>
        <w:bidi/>
        <w:spacing w:after="0" w:line="360" w:lineRule="auto"/>
        <w:ind w:left="0"/>
        <w:jc w:val="both"/>
        <w:rPr>
          <w:rFonts w:asciiTheme="majorBidi" w:hAnsiTheme="majorBidi" w:cstheme="majorBidi"/>
          <w:sz w:val="32"/>
          <w:szCs w:val="32"/>
          <w:rtl/>
          <w:lang w:bidi="ar-BH"/>
        </w:rPr>
      </w:pP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ذا كانت علاقة العمل بين الطاعن والمطعون ضدها قد انتهت في ظل العمل بقانون العمل الجديد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فإنه يتعين احتساب حق الطاعن في التعويض عن الفصل وبدل الإجازة السنوية طبقا لنص المادة 47 من هذا القانون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ولما كان البين من خطاب المطعون ضدها المؤرخ 24/3/2014 أن الأجر الأساسي للطاعن مبلغ 712 دينارا وأنه يحصل على علاوة اجتماعية مقدارها 65 دينارا شهريا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فإنه يتعين احتساب حقه في التعويض وبدل الإجازة السنوية على هذا الأساس اي على اساس مبلغ 777 دينارا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وإذ ذهب الحكم المطعون فيه الى خلاف ذلك فإنه يكون قد خالف الثابت بالأوراق وهو ما أسلمه إلى مخالفة القانون والخطأ في تطبيقه. </w:t>
      </w:r>
    </w:p>
    <w:p w:rsidR="00AF6621" w:rsidRPr="000C44E7" w:rsidRDefault="00AF6621" w:rsidP="00AF6621">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F6621" w:rsidRPr="000C44E7" w:rsidRDefault="00AF6621" w:rsidP="00AF6621">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المحكمــة</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بعد الاطلاع على الأوراق</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وسماع التقرير الذي تلاه القاضي المقرر</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وبعد المداولة.</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ان الطعنين استوفيا اوضاعهما الشكلية.</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ان الوقائع – على ما</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يبين من الاوراق – تتحصل في ان الطاعن في الطعن الاول المقيد برقم 185/2015 أقام على خصيمته في الطعنين الدعوى العمالية يطلب فيها الحكم بإلزامها بأن تؤدي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ه تعويضا عن فصله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سبب مشروع ومستحقه في بدل الإجازة السنوية قائلا إنه عمل لديها ا</w:t>
      </w:r>
      <w:r w:rsidRPr="000C44E7">
        <w:rPr>
          <w:rFonts w:asciiTheme="majorBidi" w:hAnsiTheme="majorBidi" w:cstheme="majorBidi" w:hint="cs"/>
          <w:sz w:val="32"/>
          <w:szCs w:val="32"/>
          <w:rtl/>
          <w:lang w:bidi="ar-BH"/>
        </w:rPr>
        <w:t>بتداء</w:t>
      </w:r>
      <w:r w:rsidRPr="000C44E7">
        <w:rPr>
          <w:rFonts w:asciiTheme="majorBidi" w:hAnsiTheme="majorBidi" w:cstheme="majorBidi"/>
          <w:sz w:val="32"/>
          <w:szCs w:val="32"/>
          <w:rtl/>
          <w:lang w:bidi="ar-BH"/>
        </w:rPr>
        <w:t xml:space="preserve"> من سنة 1995 بعقد غير محدد المدة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بأجر شهري مقداره 962 دينارا</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وبتاريخ 7/4/2014 فصلته من العمل بدون سبب مشروع وامتنعت عن سداد مستحقاته التي يطالب بها. ولتعذر تسوية النزاع وديا عرضه القاضي المنتدب على المحكمة الكبرى المدنية التي حكمت بإلزام المدعى عليها بأن تؤدي للمدعي مبلغ 8003 دنانير ويشمل مبل</w:t>
      </w:r>
      <w:r w:rsidRPr="000C44E7">
        <w:rPr>
          <w:rFonts w:asciiTheme="majorBidi" w:hAnsiTheme="majorBidi" w:cstheme="majorBidi" w:hint="cs"/>
          <w:sz w:val="32"/>
          <w:szCs w:val="32"/>
          <w:rtl/>
          <w:lang w:bidi="ar-BH"/>
        </w:rPr>
        <w:t>غ</w:t>
      </w:r>
      <w:r w:rsidRPr="000C44E7">
        <w:rPr>
          <w:rFonts w:asciiTheme="majorBidi" w:hAnsiTheme="majorBidi" w:cstheme="majorBidi"/>
          <w:sz w:val="32"/>
          <w:szCs w:val="32"/>
          <w:rtl/>
          <w:lang w:bidi="ar-BH"/>
        </w:rPr>
        <w:t xml:space="preserve"> 6720 دينارا تعويضا عن الفصل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ومبلغ 1283 دينارا بدل إجازة سنوية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فطعن المدعي في هذا الحكم بطريق التمييز بالطعن رقم 185 لسنة 2015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وطعنت المدعى عليها ايضا عليه بالطعن رقم 197/2015 وبجلسة المرافعة قررت المحكمة ضم الطعن الثاني الى الطعن الاول للارتباط ليصدر فيهما حكم واحد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وأودع المكتب الفني للمحكمة مذكرة برأيه في الطعنين .</w:t>
      </w:r>
    </w:p>
    <w:p w:rsidR="00AF6621" w:rsidRPr="000C44E7" w:rsidRDefault="00AF6621" w:rsidP="00AF6621">
      <w:pPr>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sz w:val="32"/>
          <w:szCs w:val="32"/>
          <w:rtl/>
          <w:lang w:bidi="ar-BH"/>
        </w:rPr>
        <w:t>أ</w:t>
      </w:r>
      <w:r w:rsidRPr="000C44E7">
        <w:rPr>
          <w:rFonts w:asciiTheme="majorBidi" w:hAnsiTheme="majorBidi" w:cstheme="majorBidi"/>
          <w:b/>
          <w:bCs/>
          <w:sz w:val="32"/>
          <w:szCs w:val="32"/>
          <w:rtl/>
          <w:lang w:bidi="ar-BH"/>
        </w:rPr>
        <w:t xml:space="preserve">ولا : الطعن رقم 197/2015 </w:t>
      </w:r>
      <w:r w:rsidRPr="000C44E7">
        <w:rPr>
          <w:rFonts w:asciiTheme="majorBidi" w:hAnsiTheme="majorBidi" w:cstheme="majorBidi" w:hint="cs"/>
          <w:b/>
          <w:bCs/>
          <w:sz w:val="32"/>
          <w:szCs w:val="32"/>
          <w:rtl/>
          <w:lang w:bidi="ar-BH"/>
        </w:rPr>
        <w:t>:</w:t>
      </w:r>
      <w:r w:rsidRPr="000C44E7">
        <w:rPr>
          <w:rFonts w:asciiTheme="majorBidi" w:hAnsiTheme="majorBidi" w:cstheme="majorBidi"/>
          <w:b/>
          <w:bCs/>
          <w:sz w:val="32"/>
          <w:szCs w:val="32"/>
          <w:rtl/>
          <w:lang w:bidi="ar-BH"/>
        </w:rPr>
        <w:t xml:space="preserve"> </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ان الطعن أقيم على سببين تنعى بهما الطاعنة على الحكم المطعون فيه الخطأ في تطبيق القانون والقصور في التسبيب ومخالفة الثابت بالأوراق وفي بيان ذلك تقول إن دفاعها أمام قاضي إدارة الدعوى ومحكمة الموضوع جرى على انها شركة ذات مسئولية محدودة وأن المطعون ضده كان احد الشركاء فيها ولم يكن عاملا لديها وقد انقضت هذه الشراكة بتنازله عن حصته وخروجه من الشركة وأنه لا يوجد عقد عمل معه ومن ثم فإنه لا يستحق تعويضا</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عن إنهاء تلك الشراكة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وإذ أطرح الحكم هذا الدفاع بمقولة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ن شراكته في الشركة لا تحول دون تحقق صفة العامل فيه ورتب على ذلك أحقيته فيما قضى له به يكون معيبا بما يستوجب نقضه.</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هذا النعي مردود</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إذا أُسند إلى الشريك في الشركة عمل بناء على تكليف من المدير المسئول او بمقتضى النظام الاساسي للشركة مقابل اجر فإنه يعتبر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 xml:space="preserve">ى </w:t>
      </w:r>
      <w:r w:rsidRPr="000C44E7">
        <w:rPr>
          <w:rFonts w:asciiTheme="majorBidi" w:hAnsiTheme="majorBidi" w:cstheme="majorBidi"/>
          <w:sz w:val="32"/>
          <w:szCs w:val="32"/>
          <w:rtl/>
          <w:lang w:bidi="ar-BH"/>
        </w:rPr>
        <w:t xml:space="preserve">هذه العلاقة عاملا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إذ لا يوجد في القانون ما يمنع من الجمع بين صفتي الشريك والعامل في شخص واحد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ومحكمة الموضوع هي المنوط بها التحقق من ثبوت علاقة العمل وانتفائها باعتبار ان ذلك من امور الواقع متى كان استخلاصها سائغا وتقديرها مقبولا له أصله الثابت بالأوراق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لما كان ذلك وكان الحكم المطعون فيه وبما لمحكمة الموضوع من سلطة في استنباط القرائن القضائية التي تأخذ بها من وقائع الدعوى وظروفها وتقدير مدى دلالتها فيها قد بنى قضاءه – وبما لا مخالفة فيه للثابت بالأوراق– على ان المطعون ضده يعمل لدى الشركة الطاعنة أخذا بما تضمنه الخطابان الصادران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 xml:space="preserve">نها الأول بتاريخ 11/12/2006 والثاني بتاريخ 24/3/2014 من أنه يعمل لديها وثابت بكل منهما مفردات راتبه لديها وانتهى من ذلك إلى ثبوت علاقة العمل بينهما حتى وإن لم يحرر عن تلك العلاقة عقد عمل مكتوب أن صفته كشريك – على فرض تحققها – لا تمنع من وجود تلك العلاقة وترتيب آثارها القانونية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وكان ما انتهى إليه الحكم وبنى عليه قضاءه استخلاصا سائغا وتقديرا مقبولا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وقائما على ما يكفي لحمله فإن ما تثيره الطاعنة بسببي الطعن يكون غير مقبول.</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ولما تقدم يتعين رفض الطعن وإلزام الطاعنة بالمصاريف مع مصادرة الكفالة فيه.</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ثانيا : الطعن رقم 185 لسنة 2015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ان الطعن اقيم على سبب ينعى به الطاعن على الحكم المطعون فيه مخالفة القانون ومخالفة الثابت في الاوراق حين احتسب حقه في التعويض وبدل الإجازة السنوية على اساس ان اجره الاساسي مبلغ 560 دينارا مع ان الثابت بخطاب المطعون ضدها الصادر له والمؤرخ 24/3/2014 أن أجره الشهري مبلغ 962 دينارا وهو ما يعيبه ويستوجب نقضه.</w:t>
      </w:r>
    </w:p>
    <w:p w:rsidR="00AF6621" w:rsidRPr="000C44E7" w:rsidRDefault="00AF6621" w:rsidP="00AF6621">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انه لما كان من المقرر طبقا لنص المادة 47 من قانون العمل رقم 36 لسنة 2012 – الذي يخضع له النزاع – ان حقوق العامل المتعلقة بمكافأة نهاية الخدمة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ومقابل رصيد الإجازات السنوية المنصوص عليها في المادة 59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والتعويض المستحق طبقا لأحكام الفقرة ب من المادة 99 والمادة 111 من هذا القانون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تحتسب على أساس الأجر الأساسي الأخير للعامل مضافا إليه العلاوة الاجتماعية إن وجدت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فإذا كان العامل ممن يعملون بالقطعة أو بالإنتاج أو يتقاضى أجرا ثابتا مضافا إليه عمولة او نسبة مئوية اعتد في حساب تلك الحقوق متوسط اجر العامل خلال الاشهر الثلاثة الأخيرة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وقد نحا قانون العمل الجديد منحى مغايرا لما كان عليه الحال في قانون العمل السابق فيما يتعلق بطريقة احتساب حقوق العامل الناشئة عن القانون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طبقا للمادة 67 منه فإنه بالنسبة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ى ا</w:t>
      </w:r>
      <w:r w:rsidRPr="000C44E7">
        <w:rPr>
          <w:rFonts w:asciiTheme="majorBidi" w:hAnsiTheme="majorBidi" w:cstheme="majorBidi"/>
          <w:sz w:val="32"/>
          <w:szCs w:val="32"/>
          <w:rtl/>
          <w:lang w:bidi="ar-BH"/>
        </w:rPr>
        <w:t xml:space="preserve">لمنشآت التي تضع لعمالها جدولا للأجور يمنحون بمقتضاه علاوات دورية يتم احتساب هذه الحقوق على اساس الأجر الأساسي الأخير للعامل مضافا إليه علاوة غلاء المعيشة وعلاوة أعباء العائلة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وفي غير هذه الحالات يتخذ مجموع الأجر النقدي الأخير الذي يصرف للعامل بصفة دورية ومنتظمة أساسا لحساب هذه الحقوق</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لما كان ذلك وكانت علاقة العمل بين الطاعن والمطعون ضدها قد انتهت في ظل العمل بقانون العمل الجديد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فإنه يتعين احتساب حق الطاعن في التعويض عن الفصل وبدل الإجازة السنوية طبقا لنص المادة 47 من هذا القانون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ولما كان البين من خطاب المطعون ضدها المؤرخ 24/3/2014 أن الأجر الأساسي للطاعن مبلغ 712 دينارا وأنه يحصل على علاوة اجتماعية مقدارها 65 دينارا شهريا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فإنه يتعين احتساب حقه في التعويض وبدل الإجازة السنوية على هذا الأساس</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اي على اساس مبلغ 777 دينارا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وإذ ذهب الحكم المطعون فيه الى خلاف ذلك فإنه يكون قد خالف الثابت بالأوراق وهو ما أسلمه إلى مخالفة القانون والخطأ في تطبيقه بما يتعين نقضه في هذا الخصوص وإلزام المطعون ضدها بمصاريف هذا الطعن.</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4FD2"/>
    <w:multiLevelType w:val="hybridMultilevel"/>
    <w:tmpl w:val="198430CC"/>
    <w:lvl w:ilvl="0" w:tplc="502C015A">
      <w:start w:val="1"/>
      <w:numFmt w:val="decimal"/>
      <w:lvlText w:val="%1-"/>
      <w:lvlJc w:val="left"/>
      <w:pPr>
        <w:ind w:left="360" w:hanging="360"/>
      </w:pPr>
      <w:rPr>
        <w:rFonts w:hint="default"/>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89"/>
    <w:rsid w:val="0003272B"/>
    <w:rsid w:val="00572989"/>
    <w:rsid w:val="00AF6621"/>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62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62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2020-04-21T12:57:00Z</dcterms:created>
  <dcterms:modified xsi:type="dcterms:W3CDTF">2020-04-21T12:57:00Z</dcterms:modified>
</cp:coreProperties>
</file>