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A6" w:rsidRPr="00E060C7" w:rsidRDefault="00B550A6" w:rsidP="00B550A6">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31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B550A6" w:rsidRPr="00E060C7" w:rsidRDefault="00B550A6" w:rsidP="00B550A6">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البوعنين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 علي يوسف منصور ، معصومة عبدالرسول عيسى ، نادر السيد علي عبدالمطلب ، عبدالله يعقوب عبدالرحمن </w:t>
      </w:r>
    </w:p>
    <w:p w:rsidR="00B550A6" w:rsidRPr="00E060C7" w:rsidRDefault="00B550A6" w:rsidP="00B550A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550A6" w:rsidRPr="00E060C7" w:rsidRDefault="00B550A6" w:rsidP="00B550A6">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B550A6" w:rsidRPr="00E060C7" w:rsidRDefault="00B550A6" w:rsidP="00B550A6">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143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B550A6" w:rsidRPr="00E060C7" w:rsidRDefault="00B550A6" w:rsidP="00B550A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151 لسنة 2016 </w:t>
      </w:r>
    </w:p>
    <w:p w:rsidR="00B550A6" w:rsidRPr="00E060C7" w:rsidRDefault="00B550A6" w:rsidP="00B550A6">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(1- 5) </w:t>
      </w:r>
      <w:r w:rsidRPr="00E060C7">
        <w:rPr>
          <w:rFonts w:asciiTheme="majorBidi" w:hAnsiTheme="majorBidi" w:cstheme="majorBidi" w:hint="cs"/>
          <w:b/>
          <w:bCs/>
          <w:sz w:val="32"/>
          <w:szCs w:val="32"/>
          <w:u w:val="single"/>
          <w:rtl/>
          <w:lang w:bidi="ar-BH"/>
        </w:rPr>
        <w:t>إ</w:t>
      </w:r>
      <w:r w:rsidRPr="00E060C7">
        <w:rPr>
          <w:rFonts w:asciiTheme="majorBidi" w:hAnsiTheme="majorBidi" w:cstheme="majorBidi"/>
          <w:b/>
          <w:bCs/>
          <w:sz w:val="32"/>
          <w:szCs w:val="32"/>
          <w:u w:val="single"/>
          <w:rtl/>
          <w:lang w:bidi="ar-BH"/>
        </w:rPr>
        <w:t>ثبات. اختصاص. تحكيم. تمييز. حكم "الطعن في الأحكام". قانون.</w:t>
      </w:r>
    </w:p>
    <w:p w:rsidR="00B550A6" w:rsidRPr="00E060C7" w:rsidRDefault="00B550A6" w:rsidP="00B550A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عدم جواز الطعن في الحكم الصادر بتعيين محكم. مناطه أن يكون الحكم قد اقتصر في قضائه على تعيين محكم. تطرقه </w:t>
      </w:r>
      <w:r w:rsidRPr="00E060C7">
        <w:rPr>
          <w:rFonts w:asciiTheme="majorBidi" w:hAnsiTheme="majorBidi" w:cstheme="majorBidi" w:hint="cs"/>
          <w:sz w:val="32"/>
          <w:szCs w:val="32"/>
          <w:rtl/>
          <w:lang w:bidi="ar-BH"/>
        </w:rPr>
        <w:t xml:space="preserve">إلى </w:t>
      </w:r>
      <w:r w:rsidRPr="00E060C7">
        <w:rPr>
          <w:rFonts w:asciiTheme="majorBidi" w:hAnsiTheme="majorBidi" w:cstheme="majorBidi"/>
          <w:sz w:val="32"/>
          <w:szCs w:val="32"/>
          <w:rtl/>
          <w:lang w:bidi="ar-BH"/>
        </w:rPr>
        <w:t>الفصل في بعض المسائل الأولية كالدفع بعدم اختصاص المحكمة الكبرى بنظر الدعوى وبعدم قبولها لرفعها قبل الأوان. لازمه. جواز استئنافه. فصل محكمة الاستئناف في تلك المسائل الأولية. أثره. جواز الطعن في حكمها بطريق التمييز.</w:t>
      </w:r>
    </w:p>
    <w:p w:rsidR="00B550A6" w:rsidRPr="00E060C7" w:rsidRDefault="00B550A6" w:rsidP="00B550A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 القانون. سريانه على الوقائع التي حدثت من تاريخ العمل به ولا يكون له أثر رجعي إلا بنص خاص.</w:t>
      </w:r>
    </w:p>
    <w:p w:rsidR="00B550A6" w:rsidRPr="00E060C7" w:rsidRDefault="00B550A6" w:rsidP="00B550A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المراكز القانونية. عدم استقرارها وتحقيق آثارها إلا بصدور الحكم النهائي في الدعوى. صدور قانون أثناء نظر الاستئناف وقبل صدور الحكم النهائي يتناول بالإلغاء أو التعديل أحكام القانون الذي كان منطبقًا على المركز القانوني. أثره اعتباره هو الواجب التطبيق.</w:t>
      </w:r>
    </w:p>
    <w:p w:rsidR="00B550A6" w:rsidRPr="00E060C7" w:rsidRDefault="00B550A6" w:rsidP="00B550A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(4) المحكمة الكبرى المدنية. اختصاصها بأداء الوظائف المشار إليها في المادة السادسة من قانون الأونستيرال النموذجي ومنها تعيين المحكمين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المشار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ليها في المادة 11 منه. م 3 ق 9 لسنة 2015 بإصدار قانون التحكيم.</w:t>
      </w:r>
    </w:p>
    <w:p w:rsidR="00B550A6" w:rsidRPr="00E060C7" w:rsidRDefault="00B550A6" w:rsidP="00B550A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(5) محكمة الموضوع. سلطتها في فهم الواقع في الدعوى وتقدير أدلتها.</w:t>
      </w:r>
    </w:p>
    <w:p w:rsidR="00B550A6" w:rsidRPr="00E060C7" w:rsidRDefault="00B550A6" w:rsidP="00B550A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lastRenderedPageBreak/>
        <w:t>ـــــــــــــــــــــــــــــــــــــــــــــــــــــــــــــــ</w:t>
      </w:r>
    </w:p>
    <w:p w:rsidR="00B550A6" w:rsidRPr="00E060C7" w:rsidRDefault="00B550A6" w:rsidP="00B550A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1- مناط عدم جواز الطعن في الحكم الصادر بتعيين محكم هو أن يكون قضاؤه قد اقتصر على تعيين محكم أما إذا تطرق إلى الفصل في بعض المسائل الأولية كما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ثير في الدعوى الماثلة بدفعي الطاعنة بعدم اختصاص المحكمة الكبرى بتعيين المحكم وعدم قبول الدعوى لرفعها قبل الأوان فإنه يجوز استئنافه كله وينتقل إلى محكمة الاستئناف كل أوجه الدفوع والدفاع التي أثارها الخصوم أمام محكمة أول درجة فإذا فصلت فى تلك الأوجه فإنه يجوز الطعن على قضائها بالتمييز.</w:t>
      </w:r>
    </w:p>
    <w:p w:rsidR="00B550A6" w:rsidRPr="00E060C7" w:rsidRDefault="00B550A6" w:rsidP="00B550A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2- من المقرر طبقا لنص المادة الثالثة من القانون المدني أن يسر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القانون على الوقائع التي حدثت من تاريخ العمل به ولا يكون له أثر رجعي إلا بنص خاص . </w:t>
      </w:r>
    </w:p>
    <w:p w:rsidR="00B550A6" w:rsidRPr="00E060C7" w:rsidRDefault="00B550A6" w:rsidP="00B550A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3- المراكز القانونية لا تستقر ولا تحقق آثارها إلا بصدور الحكم النهائي في الدعوى فإذا صدر قانون قبل صدور هذا الحكم النهائي وأثناء نظر الاستئناف يتناول بالإلغاء أو التعديل أحكام القانون الذي كان منطبقًا على المركز القانوني فإنه يكون هو الواجب التطبيق.</w:t>
      </w:r>
    </w:p>
    <w:p w:rsidR="00B550A6" w:rsidRPr="00E060C7" w:rsidRDefault="00B550A6" w:rsidP="00B550A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4- إن القانون رقم 9 لسنة 2015 قد بدأ العمل به بعد شهر من نشره في الجريدة الرسمية بتاريخ 9/7/2015 وقد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لغى قانون التحكيم التجاري الدولي الصادر بالمرسوم بقانون رقم 9 لسنة 1994 ونص في المادة الثالثة منه على أن المحكمة الكبرى المدنية هي المختصة بأداء الوظائف المشار إليها في المادة السادسة من القانون المرافعة "قانون الاونستيرال النموذجي" التي تتولى تعي</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ن المحكمين المشار إليها في المادة 11 منه . </w:t>
      </w:r>
    </w:p>
    <w:p w:rsidR="00B550A6" w:rsidRPr="00E060C7" w:rsidRDefault="00B550A6" w:rsidP="00B550A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5- من المقرر أن لمحكمة الموضوع سلطة فهم الواقع في الدعوى وتقدير الأدلة فيها . </w:t>
      </w:r>
    </w:p>
    <w:p w:rsidR="00B550A6" w:rsidRPr="00E060C7" w:rsidRDefault="00B550A6" w:rsidP="00B550A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550A6" w:rsidRPr="00E060C7" w:rsidRDefault="00B550A6" w:rsidP="00B550A6">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الوقائع – على ما يبين من الحكم المطعون فيه وسائر الأوراق – تتحصل في أن الشركة المطعون ضدها أقامت على الشركة الطاعنة الدعوى رقم 1205 لسنة 2014 بطلب الحكم بتعيين محكم أو محكمين وعرض النزاع عليه</w:t>
      </w:r>
      <w:r w:rsidRPr="00E060C7">
        <w:rPr>
          <w:rFonts w:asciiTheme="majorBidi" w:hAnsiTheme="majorBidi" w:cstheme="majorBidi" w:hint="cs"/>
          <w:sz w:val="32"/>
          <w:szCs w:val="32"/>
          <w:rtl/>
          <w:lang w:bidi="ar-BH"/>
        </w:rPr>
        <w:t xml:space="preserve"> اوعليهم</w:t>
      </w:r>
      <w:r w:rsidRPr="00E060C7">
        <w:rPr>
          <w:rFonts w:asciiTheme="majorBidi" w:hAnsiTheme="majorBidi" w:cstheme="majorBidi"/>
          <w:sz w:val="32"/>
          <w:szCs w:val="32"/>
          <w:rtl/>
          <w:lang w:bidi="ar-BH"/>
        </w:rPr>
        <w:t xml:space="preserve"> بشأن امتناع الطاعنة عن سداد المبالغ المستحقة عليها ومقدارها 41127.170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بموجب العقد المبرم بينهما في 24/5/2011 التي تولت من خلال</w:t>
      </w:r>
      <w:r w:rsidRPr="00E060C7">
        <w:rPr>
          <w:rFonts w:asciiTheme="majorBidi" w:hAnsiTheme="majorBidi" w:cstheme="majorBidi" w:hint="cs"/>
          <w:sz w:val="32"/>
          <w:szCs w:val="32"/>
          <w:rtl/>
          <w:lang w:bidi="ar-BH"/>
        </w:rPr>
        <w:t>ه</w:t>
      </w:r>
      <w:r w:rsidRPr="00E060C7">
        <w:rPr>
          <w:rFonts w:asciiTheme="majorBidi" w:hAnsiTheme="majorBidi" w:cstheme="majorBidi"/>
          <w:sz w:val="32"/>
          <w:szCs w:val="32"/>
          <w:rtl/>
          <w:lang w:bidi="ar-BH"/>
        </w:rPr>
        <w:t xml:space="preserve"> تقديم الخدمات الاستشارية والعمل كوكيل عنها بشأن ترتيبات شراء الأثاث وتركيبات ومعدات منزل -------------- بالمملكة العربية السعودية وتقديم الاقتراحات الهندسية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شراف على التصميمات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أجابت المحكمة المطعون ضدها إلى طلبها إحالة النزاع إلى التحكيم وتعيين محكم في النزاع بحكم استأنفته الطاعنة لدى محكمة الاستئناف العليا المدنية بالاستئناف رقم 1205 لسنة 2014 وفيه قضت برفض وتأييد الحكم المستأنف. طعنت الطاعنة في هذا الحكم بطريق التمييز وقدم المكتب الفني مذكرة برأيه في الطعن كما قدمت المطعون ضدها مذكرة خلال الأجل دفعت فيها بعدم جواز الطعن بالتمييز إعمالا لحكم المادة 11/5 من القانون 9 لسنة 2015 التي نصت على أن القرار الصادر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ن المحكمة المختصة بتعيين المحكم يكون نهائيا وغير قابل للطعن.</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مناط عدم جواز الطعن في الحكم الصادر بتعيين محكم هو أن يكون قضاؤه قد اقتصر على تعيين محكم أما إذا تطرق إلى الفصل في بعض المسائل الأولية كما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ثير في الدعوى الماثلة بدفعي الطاعنة بعدم اختصاص المحكمة الكبرى بتعيين المحكم وعدم قبول الدعوى لرفعها قبل الأوان فإنه يجوز استئنافه كله وينتقل إلى محكمة الاستئناف كل أوجه الدفوع والدفاع التي أثارها الخصوم أمام محكمة أول درجة فإذا فصلت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تلك الأوجه فإنه يجوز الطعن على قضائها بالتمييز.</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الطعن استوفى أوضاعه الشكلية فقضت المحكمة بقبوله شكلا.</w:t>
      </w:r>
    </w:p>
    <w:p w:rsidR="00B550A6" w:rsidRPr="00E060C7" w:rsidRDefault="00B550A6" w:rsidP="00B550A6">
      <w:pPr>
        <w:tabs>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الطعن أقيم على سببين تنعى الطاعنة بالأول منهما على الحكم المطعون فيه مخالفة القانون بقضائه برفض الدفع بعدم اختصاص المحكمة الكبرى المدنية بنظر الدعوى تع</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ين محكم استنادا منه إلى نص المادة الثالثة من القانون رقم 9 لسنة 2015 مع أن </w:t>
      </w:r>
      <w:r w:rsidRPr="00E060C7">
        <w:rPr>
          <w:rFonts w:asciiTheme="majorBidi" w:hAnsiTheme="majorBidi" w:cstheme="majorBidi" w:hint="cs"/>
          <w:sz w:val="32"/>
          <w:szCs w:val="32"/>
          <w:rtl/>
          <w:lang w:bidi="ar-BH"/>
        </w:rPr>
        <w:t>هذا</w:t>
      </w:r>
      <w:r w:rsidRPr="00E060C7">
        <w:rPr>
          <w:rFonts w:asciiTheme="majorBidi" w:hAnsiTheme="majorBidi" w:cstheme="majorBidi"/>
          <w:sz w:val="32"/>
          <w:szCs w:val="32"/>
          <w:rtl/>
          <w:lang w:bidi="ar-BH"/>
        </w:rPr>
        <w:t xml:space="preserve"> القانون قد صدر لاحقا على اصدار الحكم الابتدائي في ظل سريان المرسوم بقانون رقم 9 لسنة 1994 الذي كان يجعل الاختصاص في الفصل في طلب تع</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ين محكم في النزاع التجاري الدولي لمحكمة الاستئناف العليا مما يعيب الحكم ويستوجب نقضه.</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لما كان من المقرر طبقا لنص المادة الثالثة من القانون المدني أن يسر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القانون على الوقائع التي حدثت من تاريخ العمل به ولا يكون له أثر رجعي إلا بنص خاص، كما أن المراكز القانونية لا تستقر ولا تحقق آثارها إلا بصدور الحكم النهائي في الدعوى فإذا صدر قانون قبل صدور هذا الحكم النهائي وأثناء نظر الاستئناف يتناول بالإلغاء أو التعديل أحكام القانون الذي كان منطبقا على المركز القانوني فإنه يكون هو الواجب التطبيق. لما كان ذلك وكان القانون رقم 9 لسنة 2015 قد بدأ العمل به بعد شهر من نشره في الجريدة الرسمية بتاريخ 9/7/2015 وقد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لغى قانون التحكيم التجاري الدولي الصادر بالمرسوم بقانون رقم 9 لسنة 1994 ونص في المادة الثالثة منه على أن المحكمة الكبرى المدنية هي المختصة بأداء الوظائف المشار إليها في المادة السادسة من القانون المرافعة "قانون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ونستيرال النموذجي" التي تتولى تعي</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ن المحكمين المشار إليها في المادة 11 منه وإذ وافق الحكم المطعون فيه هذا النظر وقضى برفض الدفع المبدى بعدم اختصاص المحكمة الكبرى بتعيين المحكم فإنه لا يكون قد خالف القانون.</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ما ينعاه الطاعنة بالسبب الثاني على الحكم المطعون فيه مخالفة القانون والفساد في الاستدلال ومخالفة الثابت بالأوراق حين قضى برفض الدفع بعدم قبول الدعوى لرفعها قبل الأوان وفي بيان ذلك تقول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نصوص العقد المبرم بينها وبين المطعون ضدها قد تضمنت الإجراءات الواجب اتخاذها في حالة نشوب نزاع بينهما بأن يتم التشاور والتفاوض بحسن نية بغية الوصول إلى تسوية النزاع خلال مدة لا تقل عن ثلاثين يوما وأنه في حالة الإخفاق في التسوية الودية لا يتم اللجوء إلى المحاكم لتعيين محكم إلا عند الإخفاق في الاتفاق على تعيينه خلال أربعة عشر يوما وهو ما خلت منه الأوراق مما يعيب الحكم ويستوجب نقضه.</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لما كان من المقرر أن لمحكمة الموضوع سلطة فهم الواقع في الدعوى وتقدير الأدلة فيها قد أقام قضاءه برفض الدفع بعدم قبول الدعوى لرفعها قبل الأوان على ما استخلصه من الأوراق أن المطعون ضدها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شعرت الطاعنة بكتاب مسجل مصحوب بعلم الوصول في 22/5/2013 بطلب تعيين محكم لحل النزاع بينهما وهو ما لا تنازع فيه الطاعنة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أن البين من الأوراق أيضا أن محامي المطعون ضدها قد خاطب الطاعنة بكتابه المسجل والمصحوب بعلم الوصول في 16/10/2012 بمطالبتها بسداد مبلغ 41127.0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تعابها عن عقد المساعدة والمشورة ... وهو ما يستدل منه على فشل التسوية الودية بينهما فإن ما تثيره الطاعنة في هذا الشأن يكون على غير أساس.</w:t>
      </w:r>
    </w:p>
    <w:p w:rsidR="00B550A6" w:rsidRPr="00E060C7" w:rsidRDefault="00B550A6" w:rsidP="00B550A6">
      <w:pPr>
        <w:tabs>
          <w:tab w:val="right" w:pos="7089"/>
        </w:tabs>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ولما تقدم يتعين رفض الطعن.</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FA7"/>
    <w:rsid w:val="0003272B"/>
    <w:rsid w:val="002B1FA7"/>
    <w:rsid w:val="00881E95"/>
    <w:rsid w:val="00B55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2020-04-21T12:12:00Z</dcterms:created>
  <dcterms:modified xsi:type="dcterms:W3CDTF">2020-04-21T12:12:00Z</dcterms:modified>
</cp:coreProperties>
</file>