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BA" w:rsidRPr="00011591" w:rsidRDefault="00AA71BA" w:rsidP="00AA71BA">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6 من فبراير سنة 2017</w:t>
      </w:r>
    </w:p>
    <w:p w:rsidR="00AA71BA" w:rsidRPr="00011591" w:rsidRDefault="00AA71BA" w:rsidP="00AA71BA">
      <w:pPr>
        <w:tabs>
          <w:tab w:val="left" w:pos="72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مسعـــد رمضــان السـاعـي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محمود محمود</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عبدالســـــــلام ، هــشـــام محمد عبدالهــــــــادي               </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(9)</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187 لسنة 2016 </w:t>
      </w:r>
    </w:p>
    <w:p w:rsidR="00AA71BA" w:rsidRPr="00011591" w:rsidRDefault="00AA71BA" w:rsidP="00AA71BA">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(1-6)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جريمة. حكم. دفاع. دفاع شرعي. صلح. قانون. محكمة الموضوع. </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بيان الحكم الواقعة المستوجبة للعقوبة. لم يرسم القانون شكلا خاصا لذلك. لازمه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أن يكون مجموع ما أورده الحكم كافياً في تفهم الواقعة بأركانها وظروفها. كفايته لتحقيق حكم القانون.</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تقدير الوقائع التي يستنتج منها قيام حالة الدفاع الشرعي أو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نتفاؤها. للمحكمة الفصل فيها لتعلقه بموضوع الدعوى. لازمه. أن تكون الوقائع مؤدية للنتيجة التي رتبت عليها.</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حق الدفاع الشرعي شرع لرد العدوان ولم يشرع لمعاقبة معتد على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عتدائه.</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نفي التهمة من أوجه الدفاع الموضوعية. لا تستأهل ردا. لازمه أن يكون الرد مستفاد</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 أدلة الثبوت التي أوردها الحكم.</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إيراد الحكم الأدلة المنتجة التي صحت لديه على ما استخلصه من وقوع الجريمة المسندة إلى المتهم. تعقبه في كل جزئية من جزئيات دفاعه غير لازم. التفاته عنها. مفاده أنه أطرحها.</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الصلح مع المجن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 القانون لم يرتب أثرا على الجريمة التي وقعت أو على مسئولية مرتكبها أو على الدعوى الجنائية المرفوعة بها.</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 المقرر أن القانون لم يرسم شكلا أو نمطا يصوغ فيه الحكم بيان الواقعة المستوجبة للعقوبة والظروف التي وقعت فيها، ومتى كان مجموع ما أورده الحكم </w:t>
      </w:r>
      <w:r w:rsidRPr="00011591">
        <w:rPr>
          <w:rFonts w:asciiTheme="majorBidi" w:hAnsiTheme="majorBidi" w:cstheme="majorBidi"/>
          <w:sz w:val="32"/>
          <w:szCs w:val="32"/>
          <w:rtl/>
          <w:lang w:bidi="ar-BH"/>
        </w:rPr>
        <w:lastRenderedPageBreak/>
        <w:t>كافيا في تفهم الواقعة بأركانها وظروفها حسبما استخلصتها المحكمة – كما هو الحال في الدعوى ال</w:t>
      </w:r>
      <w:r w:rsidRPr="00011591">
        <w:rPr>
          <w:rFonts w:asciiTheme="majorBidi" w:hAnsiTheme="majorBidi" w:cstheme="majorBidi" w:hint="cs"/>
          <w:sz w:val="32"/>
          <w:szCs w:val="32"/>
          <w:rtl/>
          <w:lang w:bidi="ar-BH"/>
        </w:rPr>
        <w:t>مط</w:t>
      </w:r>
      <w:r w:rsidRPr="00011591">
        <w:rPr>
          <w:rFonts w:asciiTheme="majorBidi" w:hAnsiTheme="majorBidi" w:cstheme="majorBidi"/>
          <w:sz w:val="32"/>
          <w:szCs w:val="32"/>
          <w:rtl/>
          <w:lang w:bidi="ar-BH"/>
        </w:rPr>
        <w:t>ر</w:t>
      </w:r>
      <w:r w:rsidRPr="00011591">
        <w:rPr>
          <w:rFonts w:asciiTheme="majorBidi" w:hAnsiTheme="majorBidi" w:cstheme="majorBidi" w:hint="cs"/>
          <w:sz w:val="32"/>
          <w:szCs w:val="32"/>
          <w:rtl/>
          <w:lang w:bidi="ar-BH"/>
        </w:rPr>
        <w:t>وح</w:t>
      </w:r>
      <w:r w:rsidRPr="00011591">
        <w:rPr>
          <w:rFonts w:asciiTheme="majorBidi" w:hAnsiTheme="majorBidi" w:cstheme="majorBidi"/>
          <w:sz w:val="32"/>
          <w:szCs w:val="32"/>
          <w:rtl/>
          <w:lang w:bidi="ar-BH"/>
        </w:rPr>
        <w:t>ة– فإن ذلك يكون محققا لحكم القانون، ومن ثم فإن منعى الطاعنين في هذا الشأن لا يكون له محل.</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2- المقرر أن تقدير الوقائع التي يستنتج منها قيام حالة الدفاع الشرعي أو انتفاؤها متعلق بموضوع الدعوى للمحكمة الفصل فيها بغير معقب متى كانت الوقائع مؤدية للنتيجة التي رتبت عليها.</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3- المقرر أن حق الدفاع الشرعي لم يشرع لمعاقبة معتد على اعتدائه وإنما شرع لرد العدوان. </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4- المقرر أن نفي التهمة من أوجه الدفاع الموضوعية التي لا تستأهل ردا طالما كان الرد عليها مستفادا من أدلة الثبوت التي أوردها الحكم. </w:t>
      </w:r>
    </w:p>
    <w:p w:rsidR="00AA71BA" w:rsidRPr="00011591" w:rsidRDefault="00AA71BA" w:rsidP="00AA71BA">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sz w:val="32"/>
          <w:szCs w:val="32"/>
          <w:rtl/>
          <w:lang w:bidi="ar-BH"/>
        </w:rPr>
        <w:t xml:space="preserve">5- المقرر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ما يثيره الطاعنان بشأن عدم توافر أركان الجرائم في حقهما وخلو أوراق الدعوى من دليل على إدانتهما لا يعدو أن يكون جدلا موضوعيا في تقدير الدليل وفي سلطة محكمة الموضوع في وزن عناصر الدعوى واستنباط معتقدها وهو ما لا يجوز إثارته أمام محكمة التمييز. </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6- المقرر أن القانون لم يرتب على الصلح مع المجني عليه أثرا على الجريمة التي وقعت أو على مسئولية مرتكبها أو على الدعوى الجنائية المرفوعة بها، فإن ما يثيره الطاعنان بشأن تصالحهما مع المجني عليه مقابل التنازل عن الدعوى الجنائية ــ بفرض حصوله </w:t>
      </w:r>
      <w:r w:rsidRPr="00011591">
        <w:rPr>
          <w:rFonts w:asciiTheme="majorBidi" w:hAnsiTheme="majorBidi" w:cstheme="majorBidi" w:hint="cs"/>
          <w:sz w:val="32"/>
          <w:szCs w:val="32"/>
          <w:rtl/>
          <w:lang w:bidi="ar-BH"/>
        </w:rPr>
        <w:t xml:space="preserve">ــ </w:t>
      </w:r>
      <w:r w:rsidRPr="00011591">
        <w:rPr>
          <w:rFonts w:asciiTheme="majorBidi" w:hAnsiTheme="majorBidi" w:cstheme="majorBidi"/>
          <w:sz w:val="32"/>
          <w:szCs w:val="32"/>
          <w:rtl/>
          <w:lang w:bidi="ar-BH"/>
        </w:rPr>
        <w:t>لا ينال من سلامة الحكم المطعون فيه ولا يؤثر في صحته.</w:t>
      </w:r>
    </w:p>
    <w:p w:rsidR="00AA71BA" w:rsidRPr="00011591" w:rsidRDefault="00AA71BA" w:rsidP="00AA71BA">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الوقائع</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اتهمت النيابة العامة الطاعنين في قضية الجنحة رقم 7889 لسنة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2013</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بأنهما في ليلة 31/7/2013  بدائرة أمن المحافظة الوسطى:</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المتهمان: أولا : حازا السيوف المبينة الوصف بالمحضر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الحصول على ترخيص من وزير الداخلية وذلك على النحو المبين بالأوراق.</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ثانيا: دخلا مسكن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خلافا لإرادة صاحب الشأن وفي غير الأحوال المبينة في القانون بقصد الاعتداء على سلامة جسم الغير على النحو المبين بالأوراق.</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ثالثا: اعتديا على سلامة جسم المجني عليه "</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 وأحدثا به الإصابات الموصوفة بالتقرير الطبي ولم يفض فعل الاعتداء إلى مرضه أو عجزه عن القيام بأعماله الشخصية مدة تزيد على عشرين يوما على النحو المبين بالأوراق. وطلبت عقابهما بالمادتين 339/1، 2 ، 361/1، 2، 3 من قانون العقوبات والمواد 7/1 "ب" ، 19/1 ، 22/1 من المرسوم بقانون رقم 16 لسنة 1976 في شأن المفرقعات والأسلحة والذخائر وادعت وكيلة المجني عليه قبل المتهمين بمبلغ عشرة دنانير على سبيل التعويض المدني المؤقت. والمحكمة الصغرى الجنائية قضت حضوريا بتاريخ 17/3/2015 بحبس كل متهم شهرين مع النفاذ وغرامة مائة دينار عن التهمة الأولى وبحبس المتهمين ثلاثة أشهر مع النفاذ عن التهمتين الثانية والثالثة للارتباط، وفي الدعوى المدنية بإلزام المتهمين بالتضامن بأن يؤديا للمدعي بالحقوق المدنية مبلغا قدره 10 دنانير على سبيل التعويض المؤقت وإلزامهما المصاريف وعشرين دينارا مقابل أتعاب المحاماة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استأنف المحكوم عليهما بالاستئناف رقم 727 لسنة 2015، كما استأنفته النيابة العامة بالاستئناف رقم 764 لسنة 2015، والمحكمة الكبرى الجنائية – بهيئة استئنافية – قضت غيابيا بتاريخ 21/10/2015 أولا : في الاستئناف رقم 11/2015/764 بقبول الاستئناف شكلا وفي الموضوع برفضه وتأييد الحكم المستأنف. ثانيا: في الاستئناف رقم 11/2015/727 وبإجماع الآراء بمصادرة الأسلحة المضبوطة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عارضا وقضي في 23/3/2016 باعتبار المعارضة كأن لم تكن، لم يرتض المحكوم عليهما هذا الحكم فطعنا عليه بطريق التمييز.</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بتاريخ 20/4/2016 قرر وكيل المحكوم عليهما الطعن في هذا الحكم بطريق التمييز، وبذات التاريخ أودع مذكرة بأسباب الطعن موقعة منه، كما أودع المكتب الفني للمحكمة مذكرة برأيه في الطعن.</w:t>
      </w:r>
    </w:p>
    <w:p w:rsidR="00AA71BA" w:rsidRPr="00011591" w:rsidRDefault="00AA71BA" w:rsidP="00AA71BA">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تلاوة تقرير القاضي المقرر والاطلاع على الأوراق وسماع أقوال النيابة العامة والحاضر عن الطاعنين، وبعد المداولة.</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الطعن استوفى أوضاعه الشكلية.</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الطاعنين ينعيان على الحكم المطعون فيه أنه إذ دانهما بجرائم حيازة "سيوف" بغير ترخيص من وزير الداخلية ودخول مسكن خلافا لإرادة صاحب الشأن وفي غير الأحوال المبينة في القانون والاعتداء على سلامة جسم المجني عليه ولم يفض الاعتداء إلى مرضه أو عجزه عن أعماله الشخصية مدة تزيد على عشرين يوما قد شابه القصور في التسبيب والفساد في الاستدلال والإخلال بحق الدفاع، ذلك أنه خلا من بيان واقعة الدعوى المستوجبة للعقوبة بيانا تتحقق به أركان الجرائم التي دانهما بها ومضمون الأدلة التي عول عليها في قضائه، هذا فضلا عن أن الطاعن الأول كان في حالة دفاع شرعي عن النفس، كما قضى الحكم بإدانتهما رغم عدم توافر أركان الجرائم في حقهما وخلو أوراق الدعوى من دليل على إدانتهما إذ ان الأسلحة البيضاء المضبوطة ليست مملوكة للطاعنين ولا توجد عليها بصمات لهما، وأخيرا فقد تم التصالح وتسوية الخلاف بين طرفي الدعوى لقاء مبلغ مالي قام بسداده والد الطاعن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ن مقابل التنازل عن الدعوى الجنائية، كل ذلك مما يعيب الحكم المطعون فيه ويستوجب نقضه.</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الحكم المطعون فيه – الذي أنشأ لقضائه أسبابا مستقلة – بين واقعة الدعوى في قوله "انها تتحصل فيما أبلغ به المجني عليه بأن كلا من المتهمين وهما شقيقا زوجته قاما بالدخول إلى مسكنه خلافا لإرادته وكان بحوزتهما "سيوف" وقاما بالاعتداء عليه بالضرب بواسطة السيوف بسبب خلاف نشب بينه وبين زوجته شقيقة المتهمين."</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وأورد الحكم على ثبوت الواقعة على هذه الصورة في حق الطاعنين أدلة استمدها مما جاء ببلاغ المجني عليه وما شهد به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بتحقيقات النيابة العامة وما قرره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بمحضر جمع الاستدلالات ومما ثبت بالتقرير الطبي الخاص بالمجني عليه وتقرير فحص المضبوطات، وهي أدلة سائغة من شأنها أن تؤدي إلى ما رتبه الحكم عليها، وجاء استعراض المحكمة لأدلة الدعوى على نحو يدل على أنها محصتها التمحيص الكافي وألمت بها إلماما شاملا يفيد أنها قامت بما ينبغي لها من تدقيق البحث لتعرف الحقيقة، وكان من المقرر أن القانون لم يرسم شكلا أو نمطا يصوغ فيه الحكم بيان الواقعة المستوجبة للعقوبة والظروف التي وقعت فيها، ومتى كان مجموع ما أورده الحكم كافيا في تفهم الواقعة بأركانها وظروفها حسبما استخلصتها المحكمة – كما هو الحال في الدعوى الراهنة – فإن ذلك يكون محققا لحكم القانون، ومن ثم فإن منعى الطاعنين في هذا الشأن لا يكون له محل. لما كان ذلك، وكان الحكم المطعون فيه قد عرض لما اثاره الطاعنان من قيام حالة الدفاع الشرعي عن النفس ورد عليه في قوله "وحيث انه عن الدفع بتوافر حالة الدفاع الشرعي فمردود عليه بأن الثابت للمحكمة قيام المتهمين بالتعدي بالضرب على المجني عليه على نحو ما سلف بيانه مما يفيد حصول التعدي من المتهمين، وكان الثابت في الأوراق على نحو ما سلف أنهما هما من بدآ التعدي وأحدثا إصابة المجني عليه وأعدا لذلك الأسلحة البيضاء موضوع التهمة الأولى وتوجها إلى مسكن المجني عليه للتعدي عليه، ومن ثم تنتفي حالة الدفاع الشرعي ويكون ما تساند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ليه الدفاع غير سديد." وكان من المقرر أن تقدير الوقائع التي يستنتج منها قيام حالة الدفاع الشرعي أو انتفاؤها متعلق بموضوع الدعوى للمحكمة الفصل فيها بغير معقب متى كانت الوقائع مؤدية للنتيجة التي رتبت عليها، كما أن حق الدفاع الشرعي لم يشرع لمعاقبة معتد على اعتدائه وإنما شرع لرد العدوان، وإذ كان ما أورده الحكم فيما تقدم أن المتهمين لم يكونا في حالة دفاع شرعي عن النفس بل كانا معتديين قاصدين إلحاق الأذى بالمجني عليه لا دفع اعتداء وقع عليهما أو على غيرهما، فإن ما يثيره الطاعن الأول في هذا الشأن ينحل إلى جدل موضوعي في تقدير المحكمة للدليل مما لا تجوز إثارته أمام محكمة التمييز. لما كان ذلك، وكان من المقرر أن نفي التهمة من أوجه الدفاع الموضوعية التي لا تستأهل ردا طالما كان الرد عليها مستفادا من أدلة الثبوت التي أوردها الحكم، هذا إلى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ما يثيره الطاعنان بشأن عدم توافر أركان الجرائم في حقهما وخلو أوراق الدعوى من دليل على إدانتهما لا يعدو أن يكون جدلا موضوعيا في تقدير الدليل وفي سلطة محكمة الموضوع في وزن عناصر الدعوى واستنباط معتقدها وهو ما لا يجوز إثارته أمام محكمة التمييز.  لما كان ذلك، وكان القانون لم يرتب على الصلح مع المجني عليه أثرا على الجريمة التي وقعت أو على مسئولية مرتكبها أو على الدعوى الجنائية المرفوعة بها، فإن ما يثيره الطاعنان بشأن تصالحهما مع المجني عليه مقابل التنازل عن الدعوى الجنائية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ــ بفرض حصوله ــ</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لا ينال من سلامة الحكم المطعون فيه ولا يؤثر في صحته.</w:t>
      </w:r>
    </w:p>
    <w:p w:rsidR="00AA71BA" w:rsidRPr="00011591" w:rsidRDefault="00AA71BA" w:rsidP="00AA71BA">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لما كان ما تقدم، فإن الطعن برمته يكون على غير أساس متعينا رفضه موضوعا.    </w:t>
      </w:r>
    </w:p>
    <w:p w:rsidR="00AA71BA" w:rsidRPr="00011591" w:rsidRDefault="00AA71BA" w:rsidP="00AA71BA">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29"/>
    <w:rsid w:val="0003272B"/>
    <w:rsid w:val="007A2B29"/>
    <w:rsid w:val="00AA71BA"/>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B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B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2020-04-22T10:41:00Z</dcterms:created>
  <dcterms:modified xsi:type="dcterms:W3CDTF">2020-04-22T10:41:00Z</dcterms:modified>
</cp:coreProperties>
</file>