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2DA" w:rsidRPr="000C44E7" w:rsidRDefault="005762DA" w:rsidP="005762DA">
      <w:pPr>
        <w:bidi/>
        <w:spacing w:after="0" w:line="360" w:lineRule="auto"/>
        <w:jc w:val="center"/>
        <w:rPr>
          <w:rFonts w:asciiTheme="majorBidi" w:hAnsiTheme="majorBidi" w:cstheme="majorBidi"/>
          <w:b/>
          <w:bCs/>
          <w:sz w:val="32"/>
          <w:szCs w:val="32"/>
          <w:lang w:bidi="ar-BH"/>
        </w:rPr>
      </w:pPr>
      <w:r w:rsidRPr="000C44E7">
        <w:rPr>
          <w:rFonts w:asciiTheme="majorBidi" w:hAnsiTheme="majorBidi" w:cstheme="majorBidi"/>
          <w:b/>
          <w:bCs/>
          <w:sz w:val="32"/>
          <w:szCs w:val="32"/>
          <w:rtl/>
          <w:lang w:bidi="ar-BH"/>
        </w:rPr>
        <w:t>جلسة 13من ديسمبر سنة 2016</w:t>
      </w:r>
    </w:p>
    <w:p w:rsidR="005762DA" w:rsidRPr="000C44E7" w:rsidRDefault="005762DA" w:rsidP="005762DA">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برئاسة</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 المستشار د. طه عبد المول</w:t>
      </w:r>
      <w:r w:rsidRPr="000C44E7">
        <w:rPr>
          <w:rFonts w:asciiTheme="majorBidi" w:hAnsiTheme="majorBidi" w:cstheme="majorBidi" w:hint="cs"/>
          <w:sz w:val="32"/>
          <w:szCs w:val="32"/>
          <w:rtl/>
          <w:lang w:bidi="ar-BH"/>
        </w:rPr>
        <w:t>ى</w:t>
      </w:r>
      <w:r w:rsidRPr="000C44E7">
        <w:rPr>
          <w:rFonts w:asciiTheme="majorBidi" w:hAnsiTheme="majorBidi" w:cstheme="majorBidi"/>
          <w:sz w:val="32"/>
          <w:szCs w:val="32"/>
          <w:rtl/>
          <w:lang w:bidi="ar-BH"/>
        </w:rPr>
        <w:t xml:space="preserve"> طه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وعضوية المستشارين</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نادر السيد عل</w:t>
      </w:r>
      <w:r w:rsidRPr="000C44E7">
        <w:rPr>
          <w:rFonts w:asciiTheme="majorBidi" w:hAnsiTheme="majorBidi" w:cstheme="majorBidi" w:hint="cs"/>
          <w:sz w:val="32"/>
          <w:szCs w:val="32"/>
          <w:rtl/>
          <w:lang w:bidi="ar-BH"/>
        </w:rPr>
        <w:t xml:space="preserve">ي </w:t>
      </w:r>
      <w:r w:rsidRPr="000C44E7">
        <w:rPr>
          <w:rFonts w:asciiTheme="majorBidi" w:hAnsiTheme="majorBidi" w:cstheme="majorBidi"/>
          <w:sz w:val="32"/>
          <w:szCs w:val="32"/>
          <w:rtl/>
          <w:lang w:bidi="ar-BH"/>
        </w:rPr>
        <w:t xml:space="preserve">عبدالمطلب ،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 xml:space="preserve">براهيم محمد المرصفاوي ، عدنان عبدالله </w:t>
      </w:r>
      <w:r w:rsidRPr="000C44E7">
        <w:rPr>
          <w:rFonts w:asciiTheme="majorBidi" w:hAnsiTheme="majorBidi" w:cstheme="majorBidi"/>
          <w:sz w:val="32"/>
          <w:szCs w:val="32"/>
          <w:rtl/>
        </w:rPr>
        <w:t xml:space="preserve">الشيخ هزيم الشامسـي        </w:t>
      </w:r>
    </w:p>
    <w:p w:rsidR="005762DA" w:rsidRPr="000C44E7" w:rsidRDefault="005762DA" w:rsidP="005762DA">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5762DA" w:rsidRPr="000C44E7" w:rsidRDefault="005762DA" w:rsidP="005762DA">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120</w:t>
      </w:r>
      <w:r w:rsidRPr="000C44E7">
        <w:rPr>
          <w:rFonts w:asciiTheme="majorBidi" w:hAnsiTheme="majorBidi" w:cstheme="majorBidi"/>
          <w:b/>
          <w:bCs/>
          <w:sz w:val="32"/>
          <w:szCs w:val="32"/>
          <w:lang w:bidi="ar-BH"/>
        </w:rPr>
        <w:t xml:space="preserve"> </w:t>
      </w:r>
      <w:r w:rsidRPr="000C44E7">
        <w:rPr>
          <w:rFonts w:asciiTheme="majorBidi" w:hAnsiTheme="majorBidi" w:cstheme="majorBidi"/>
          <w:b/>
          <w:bCs/>
          <w:sz w:val="32"/>
          <w:szCs w:val="32"/>
          <w:rtl/>
          <w:lang w:bidi="ar-BH"/>
        </w:rPr>
        <w:t>)</w:t>
      </w:r>
    </w:p>
    <w:p w:rsidR="005762DA" w:rsidRPr="000C44E7" w:rsidRDefault="005762DA" w:rsidP="005762DA">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الطعن رقم 127 لسنة 2015 </w:t>
      </w:r>
    </w:p>
    <w:p w:rsidR="005762DA" w:rsidRPr="000C44E7" w:rsidRDefault="005762DA" w:rsidP="005762DA">
      <w:pPr>
        <w:bidi/>
        <w:spacing w:after="0" w:line="360" w:lineRule="auto"/>
        <w:jc w:val="both"/>
        <w:rPr>
          <w:rFonts w:asciiTheme="majorBidi" w:hAnsiTheme="majorBidi" w:cstheme="majorBidi"/>
          <w:b/>
          <w:bCs/>
          <w:sz w:val="32"/>
          <w:szCs w:val="32"/>
          <w:u w:val="single"/>
          <w:rtl/>
          <w:lang w:bidi="ar-BH"/>
        </w:rPr>
      </w:pPr>
      <w:r w:rsidRPr="000C44E7">
        <w:rPr>
          <w:rFonts w:asciiTheme="majorBidi" w:hAnsiTheme="majorBidi" w:cstheme="majorBidi"/>
          <w:b/>
          <w:bCs/>
          <w:sz w:val="32"/>
          <w:szCs w:val="32"/>
          <w:u w:val="single"/>
          <w:rtl/>
          <w:lang w:bidi="ar-BH"/>
        </w:rPr>
        <w:t xml:space="preserve"> (1</w:t>
      </w:r>
      <w:r w:rsidRPr="000C44E7">
        <w:rPr>
          <w:rFonts w:asciiTheme="majorBidi" w:hAnsiTheme="majorBidi" w:cstheme="majorBidi" w:hint="cs"/>
          <w:b/>
          <w:bCs/>
          <w:sz w:val="32"/>
          <w:szCs w:val="32"/>
          <w:u w:val="single"/>
          <w:rtl/>
          <w:lang w:bidi="ar-BH"/>
        </w:rPr>
        <w:t>-</w:t>
      </w:r>
      <w:r w:rsidRPr="000C44E7">
        <w:rPr>
          <w:rFonts w:asciiTheme="majorBidi" w:hAnsiTheme="majorBidi" w:cstheme="majorBidi"/>
          <w:b/>
          <w:bCs/>
          <w:sz w:val="32"/>
          <w:szCs w:val="32"/>
          <w:u w:val="single"/>
          <w:rtl/>
          <w:lang w:bidi="ar-BH"/>
        </w:rPr>
        <w:t xml:space="preserve">2) تمييز . محاماة . وكالة .  </w:t>
      </w:r>
    </w:p>
    <w:p w:rsidR="005762DA" w:rsidRPr="000C44E7" w:rsidRDefault="005762DA" w:rsidP="005762DA">
      <w:pPr>
        <w:numPr>
          <w:ilvl w:val="0"/>
          <w:numId w:val="1"/>
        </w:numPr>
        <w:bidi/>
        <w:spacing w:after="0" w:line="360" w:lineRule="auto"/>
        <w:ind w:left="0"/>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المحامي الموقع صحيفة الطعن بالتمييز . وجوب أن يكون موكلا بذلك من الطاعن أو من وكيله المصرح له بتوكيل محام للطعن بالتمييز . مخالفة ذلك عدم قبول الطعن . </w:t>
      </w:r>
    </w:p>
    <w:p w:rsidR="005762DA" w:rsidRPr="000C44E7" w:rsidRDefault="005762DA" w:rsidP="005762DA">
      <w:pPr>
        <w:numPr>
          <w:ilvl w:val="0"/>
          <w:numId w:val="1"/>
        </w:numPr>
        <w:bidi/>
        <w:spacing w:after="0" w:line="360" w:lineRule="auto"/>
        <w:ind w:left="0"/>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ثبوت عدم تقديم المحامي رافع الطعن التوكيلات الأخيرة الصادرة عن أصحاب وممثلي الشركة الطاعنة للمحامية التي أوكلته في الطعن قبل إقفال باب المرافعة للوقوف على وجود تلك التوكيلات وحدودها وما إذا كانت تجيز لوكيلهم توكيل محام للطعن بالتمييز من عدمه . أثره عدم قبول الطعن شكلا لرفعه من غير ذي صفه . </w:t>
      </w:r>
    </w:p>
    <w:p w:rsidR="005762DA" w:rsidRPr="000C44E7" w:rsidRDefault="005762DA" w:rsidP="005762DA">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5762DA" w:rsidRPr="000C44E7" w:rsidRDefault="005762DA" w:rsidP="005762DA">
      <w:pPr>
        <w:pStyle w:val="Heading5"/>
        <w:tabs>
          <w:tab w:val="left" w:pos="3437"/>
        </w:tabs>
        <w:spacing w:line="360" w:lineRule="auto"/>
        <w:ind w:firstLine="720"/>
        <w:jc w:val="left"/>
        <w:rPr>
          <w:rFonts w:asciiTheme="majorBidi" w:hAnsiTheme="majorBidi" w:cstheme="majorBidi"/>
          <w:b/>
          <w:bCs/>
          <w:sz w:val="32"/>
          <w:szCs w:val="32"/>
          <w:rtl/>
        </w:rPr>
      </w:pPr>
      <w:r w:rsidRPr="000C44E7">
        <w:rPr>
          <w:rFonts w:asciiTheme="majorBidi" w:hAnsiTheme="majorBidi" w:cstheme="majorBidi"/>
          <w:b/>
          <w:bCs/>
          <w:sz w:val="32"/>
          <w:szCs w:val="32"/>
          <w:rtl/>
        </w:rPr>
        <w:t xml:space="preserve">      </w:t>
      </w:r>
      <w:r w:rsidRPr="000C44E7">
        <w:rPr>
          <w:rFonts w:asciiTheme="majorBidi" w:hAnsiTheme="majorBidi" w:cstheme="majorBidi"/>
          <w:b/>
          <w:bCs/>
          <w:sz w:val="32"/>
          <w:szCs w:val="32"/>
          <w:rtl/>
        </w:rPr>
        <w:tab/>
      </w:r>
    </w:p>
    <w:p w:rsidR="005762DA" w:rsidRPr="000C44E7" w:rsidRDefault="005762DA" w:rsidP="005762DA">
      <w:pPr>
        <w:pStyle w:val="ListParagraph"/>
        <w:numPr>
          <w:ilvl w:val="0"/>
          <w:numId w:val="2"/>
        </w:numPr>
        <w:bidi/>
        <w:spacing w:line="360" w:lineRule="auto"/>
        <w:ind w:left="0"/>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المقرر أنه يتعين ان يكون المحامي الموقع صحيفة الطعن بالتمييز موكلا بذلك من الطاعن أو من وكيله المصرح له بتوكيل محام للطعن بالتمييز والا كان الطعن غير مقبول. </w:t>
      </w:r>
    </w:p>
    <w:p w:rsidR="005762DA" w:rsidRPr="000C44E7" w:rsidRDefault="005762DA" w:rsidP="005762DA">
      <w:pPr>
        <w:pStyle w:val="ListParagraph"/>
        <w:bidi/>
        <w:spacing w:line="360" w:lineRule="auto"/>
        <w:ind w:left="0" w:hanging="383"/>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2- إذ كان الثابت ان المحامي الذي وقع صحيف</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الطعن موكلا من الأستاذة ------بموجب التوكيل رقم ---- لسن</w:t>
      </w:r>
      <w:r w:rsidRPr="000C44E7">
        <w:rPr>
          <w:rFonts w:asciiTheme="majorBidi" w:hAnsiTheme="majorBidi" w:cstheme="majorBidi" w:hint="cs"/>
          <w:sz w:val="32"/>
          <w:szCs w:val="32"/>
          <w:rtl/>
          <w:lang w:bidi="ar-BH"/>
        </w:rPr>
        <w:t>ة ---</w:t>
      </w:r>
      <w:r w:rsidRPr="000C44E7">
        <w:rPr>
          <w:rFonts w:asciiTheme="majorBidi" w:hAnsiTheme="majorBidi" w:cstheme="majorBidi"/>
          <w:sz w:val="32"/>
          <w:szCs w:val="32"/>
          <w:rtl/>
          <w:lang w:bidi="ar-BH"/>
        </w:rPr>
        <w:t xml:space="preserve"> والصادر له </w:t>
      </w:r>
      <w:r w:rsidRPr="000C44E7">
        <w:rPr>
          <w:rFonts w:asciiTheme="majorBidi" w:hAnsiTheme="majorBidi" w:cstheme="majorBidi" w:hint="cs"/>
          <w:sz w:val="32"/>
          <w:szCs w:val="32"/>
          <w:rtl/>
          <w:lang w:bidi="ar-BH"/>
        </w:rPr>
        <w:t>ع</w:t>
      </w:r>
      <w:r w:rsidRPr="000C44E7">
        <w:rPr>
          <w:rFonts w:asciiTheme="majorBidi" w:hAnsiTheme="majorBidi" w:cstheme="majorBidi"/>
          <w:sz w:val="32"/>
          <w:szCs w:val="32"/>
          <w:rtl/>
          <w:lang w:bidi="ar-BH"/>
        </w:rPr>
        <w:t>نها بصفتها وكيل</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عن أصحاب وممثلي الشركة الطاعنة بموجب التوكيلات أرقام ------ لسن</w:t>
      </w:r>
      <w:r w:rsidRPr="000C44E7">
        <w:rPr>
          <w:rFonts w:asciiTheme="majorBidi" w:hAnsiTheme="majorBidi" w:cstheme="majorBidi" w:hint="cs"/>
          <w:sz w:val="32"/>
          <w:szCs w:val="32"/>
          <w:rtl/>
          <w:lang w:bidi="ar-BH"/>
        </w:rPr>
        <w:t xml:space="preserve">ة </w:t>
      </w:r>
      <w:r w:rsidRPr="000C44E7">
        <w:rPr>
          <w:rFonts w:asciiTheme="majorBidi" w:hAnsiTheme="majorBidi" w:cstheme="majorBidi"/>
          <w:sz w:val="32"/>
          <w:szCs w:val="32"/>
          <w:rtl/>
          <w:lang w:bidi="ar-BH"/>
        </w:rPr>
        <w:t xml:space="preserve">2013 ، وكان المحامي رافع الطعن قد أودع التوكيل الأول </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 xml:space="preserve">دون أن يقدم التوكيلات الأخيرة قبل اقفال باب المرافعة وهو أمر لازم لتقف هذه المحكمة على وجود تلك الوكالات وحدودها وما </w:t>
      </w:r>
      <w:r w:rsidRPr="000C44E7">
        <w:rPr>
          <w:rFonts w:asciiTheme="majorBidi" w:hAnsiTheme="majorBidi" w:cstheme="majorBidi" w:hint="cs"/>
          <w:sz w:val="32"/>
          <w:szCs w:val="32"/>
          <w:rtl/>
          <w:lang w:bidi="ar-BH"/>
        </w:rPr>
        <w:lastRenderedPageBreak/>
        <w:t>ا</w:t>
      </w:r>
      <w:r w:rsidRPr="000C44E7">
        <w:rPr>
          <w:rFonts w:asciiTheme="majorBidi" w:hAnsiTheme="majorBidi" w:cstheme="majorBidi"/>
          <w:sz w:val="32"/>
          <w:szCs w:val="32"/>
          <w:rtl/>
          <w:lang w:bidi="ar-BH"/>
        </w:rPr>
        <w:t>ذا كانت تجيز لوكيلتهم توكيل محام للطعن بالتمييز من عدمه، مما يضح</w:t>
      </w:r>
      <w:r w:rsidRPr="000C44E7">
        <w:rPr>
          <w:rFonts w:asciiTheme="majorBidi" w:hAnsiTheme="majorBidi" w:cstheme="majorBidi" w:hint="cs"/>
          <w:sz w:val="32"/>
          <w:szCs w:val="32"/>
          <w:rtl/>
          <w:lang w:bidi="ar-BH"/>
        </w:rPr>
        <w:t>ى</w:t>
      </w:r>
      <w:r w:rsidRPr="000C44E7">
        <w:rPr>
          <w:rFonts w:asciiTheme="majorBidi" w:hAnsiTheme="majorBidi" w:cstheme="majorBidi"/>
          <w:sz w:val="32"/>
          <w:szCs w:val="32"/>
          <w:rtl/>
          <w:lang w:bidi="ar-BH"/>
        </w:rPr>
        <w:t xml:space="preserve"> الطعن غير مقبول شكلا لرفعه من غير ذي صف</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w:t>
      </w:r>
    </w:p>
    <w:p w:rsidR="005762DA" w:rsidRPr="000C44E7" w:rsidRDefault="005762DA" w:rsidP="005762DA">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     ـــــــــــــــــــــــــــــــــــــــــــــــــــــــــــــــ</w:t>
      </w:r>
    </w:p>
    <w:p w:rsidR="005762DA" w:rsidRPr="000C44E7" w:rsidRDefault="005762DA" w:rsidP="005762DA">
      <w:pPr>
        <w:pStyle w:val="Title"/>
        <w:spacing w:line="360" w:lineRule="auto"/>
        <w:rPr>
          <w:rFonts w:asciiTheme="majorBidi" w:hAnsiTheme="majorBidi" w:cstheme="majorBidi"/>
          <w:b/>
          <w:bCs/>
          <w:sz w:val="32"/>
          <w:szCs w:val="32"/>
          <w:rtl/>
        </w:rPr>
      </w:pPr>
      <w:r w:rsidRPr="000C44E7">
        <w:rPr>
          <w:rFonts w:asciiTheme="majorBidi" w:hAnsiTheme="majorBidi" w:cstheme="majorBidi"/>
          <w:b/>
          <w:bCs/>
          <w:sz w:val="32"/>
          <w:szCs w:val="32"/>
          <w:rtl/>
        </w:rPr>
        <w:t>المحكمة</w:t>
      </w:r>
    </w:p>
    <w:p w:rsidR="005762DA" w:rsidRPr="000C44E7" w:rsidRDefault="005762DA" w:rsidP="005762DA">
      <w:pPr>
        <w:pStyle w:val="ListParagraph"/>
        <w:bidi/>
        <w:spacing w:line="360" w:lineRule="auto"/>
        <w:ind w:left="0"/>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بعد الاطلاع على الأوراق ، وسماع التقرير الذي تلاه القاضي المقرر، والمداولة.</w:t>
      </w:r>
    </w:p>
    <w:p w:rsidR="005762DA" w:rsidRPr="000C44E7" w:rsidRDefault="005762DA" w:rsidP="005762DA">
      <w:pPr>
        <w:pStyle w:val="ListParagraph"/>
        <w:bidi/>
        <w:spacing w:line="360" w:lineRule="auto"/>
        <w:ind w:left="0"/>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وحيث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ن الوقائع – كما يبين من الأوراق وبالقدر الذي يقتضيه الفصل في الطعن – تخلص </w:t>
      </w:r>
      <w:r w:rsidRPr="000C44E7">
        <w:rPr>
          <w:rFonts w:asciiTheme="majorBidi" w:hAnsiTheme="majorBidi" w:cstheme="majorBidi" w:hint="cs"/>
          <w:sz w:val="32"/>
          <w:szCs w:val="32"/>
          <w:rtl/>
          <w:lang w:bidi="ar-BH"/>
        </w:rPr>
        <w:t>إلى</w:t>
      </w:r>
      <w:r w:rsidRPr="000C44E7">
        <w:rPr>
          <w:rFonts w:asciiTheme="majorBidi" w:hAnsiTheme="majorBidi" w:cstheme="majorBidi"/>
          <w:sz w:val="32"/>
          <w:szCs w:val="32"/>
          <w:rtl/>
          <w:lang w:bidi="ar-BH"/>
        </w:rPr>
        <w:t xml:space="preserve"> ان المطعون ضده أقام الدعوى رقم 7460 لسن</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2013 امام مكتب ادار</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الدعوى العمالية ضد الطاعنة بطلب الزامها بأن تؤدي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ه مستحقاته العمالية لديها. ولتعذر التسوية الودية بين الطرفين فقد أحال قاضي ادار</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الدعوى العمالية اوراق النزاع الى </w:t>
      </w:r>
      <w:r w:rsidRPr="000C44E7">
        <w:rPr>
          <w:rFonts w:asciiTheme="majorBidi" w:hAnsiTheme="majorBidi" w:cstheme="majorBidi" w:hint="cs"/>
          <w:sz w:val="32"/>
          <w:szCs w:val="32"/>
          <w:rtl/>
          <w:lang w:bidi="ar-BH"/>
        </w:rPr>
        <w:t>ال</w:t>
      </w:r>
      <w:r w:rsidRPr="000C44E7">
        <w:rPr>
          <w:rFonts w:asciiTheme="majorBidi" w:hAnsiTheme="majorBidi" w:cstheme="majorBidi"/>
          <w:sz w:val="32"/>
          <w:szCs w:val="32"/>
          <w:rtl/>
          <w:lang w:bidi="ar-BH"/>
        </w:rPr>
        <w:t>محكم</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مشفوعا بالرأي . والمحكمة قضت بالزام الطاعنة بأن تؤدي الى المطعون ضده مبلغ 3970 دينارا والفائدة بواقع 3% وتذكر</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العودة وشهاده الخدمة ورفضت ما عدا ذلك من طلبات .</w:t>
      </w:r>
    </w:p>
    <w:p w:rsidR="005762DA" w:rsidRPr="000C44E7" w:rsidRDefault="005762DA" w:rsidP="005762DA">
      <w:pPr>
        <w:pStyle w:val="ListParagraph"/>
        <w:bidi/>
        <w:spacing w:line="360" w:lineRule="auto"/>
        <w:ind w:left="0"/>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طعنت الطاعنة في هذا الحكم بطريق التمييز وقدم المكتب الفني مذكر</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برأيه في الطعن.</w:t>
      </w:r>
    </w:p>
    <w:p w:rsidR="005762DA" w:rsidRPr="000C44E7" w:rsidRDefault="005762DA" w:rsidP="005762DA">
      <w:pPr>
        <w:pStyle w:val="ListParagraph"/>
        <w:bidi/>
        <w:spacing w:line="360" w:lineRule="auto"/>
        <w:ind w:left="0"/>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وحيث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نه لما كان من المقرر أنه يتعين ان يكون المحامي الموقع صحيفة الطعن بالتمييز موكلا بذلك من الطاعن أو من وكيله المصرح له بتوكيل محام للطعن بالتمييز والا كان الطعن غير مقبول. وكان الثابت ان المحامي الذي وقع صحيف</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الطعن موكلا من الأستاذة ----- بموجب التوكيل رقم 39047 لسن</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والصادر له </w:t>
      </w:r>
      <w:r w:rsidRPr="000C44E7">
        <w:rPr>
          <w:rFonts w:asciiTheme="majorBidi" w:hAnsiTheme="majorBidi" w:cstheme="majorBidi" w:hint="cs"/>
          <w:sz w:val="32"/>
          <w:szCs w:val="32"/>
          <w:rtl/>
          <w:lang w:bidi="ar-BH"/>
        </w:rPr>
        <w:t>ع</w:t>
      </w:r>
      <w:r w:rsidRPr="000C44E7">
        <w:rPr>
          <w:rFonts w:asciiTheme="majorBidi" w:hAnsiTheme="majorBidi" w:cstheme="majorBidi"/>
          <w:sz w:val="32"/>
          <w:szCs w:val="32"/>
          <w:rtl/>
          <w:lang w:bidi="ar-BH"/>
        </w:rPr>
        <w:t>نها بصفتها وكيل</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عن أصحاب وممثلي الشركة الطاعنة بموجب التوكيلات أرقام -----، ----- ، -------، -------، ------ لسن</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2013 ، وكان المحامي رافع الطعن قد أودع التوكيل الأول </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 xml:space="preserve">دون أن يقدم التوكيلات الأخيرة قبل اقفال باب المرافعة وهو أمر لازم لتقف هذه المحكمة على وجود تلك الوكالات وحدودها وما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ذا كانت تجيز لوكيلتهم توكيل محام للطعن بالتمييز من عدمه، مما يضح الطعن غير مقبول شكلا لرفعه من غير ذي صف</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w:t>
      </w:r>
    </w:p>
    <w:p w:rsidR="00FF667C" w:rsidRDefault="00FF667C">
      <w:pPr>
        <w:rPr>
          <w:lang w:bidi="ar-BH"/>
        </w:rPr>
      </w:pPr>
      <w:bookmarkStart w:id="0" w:name="_GoBack"/>
      <w:bookmarkEnd w:id="0"/>
    </w:p>
    <w:sectPr w:rsidR="00FF667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5109"/>
    <w:multiLevelType w:val="hybridMultilevel"/>
    <w:tmpl w:val="B8006B7C"/>
    <w:lvl w:ilvl="0" w:tplc="E08AC7F6">
      <w:start w:val="1"/>
      <w:numFmt w:val="decimal"/>
      <w:lvlText w:val="(%1)"/>
      <w:lvlJc w:val="left"/>
      <w:pPr>
        <w:ind w:left="951" w:hanging="405"/>
      </w:pPr>
      <w:rPr>
        <w:rFonts w:hint="default"/>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1">
    <w:nsid w:val="71E94CA4"/>
    <w:multiLevelType w:val="hybridMultilevel"/>
    <w:tmpl w:val="94EA67CC"/>
    <w:lvl w:ilvl="0" w:tplc="9AA65816">
      <w:start w:val="1"/>
      <w:numFmt w:val="decimal"/>
      <w:lvlText w:val="%1-"/>
      <w:lvlJc w:val="left"/>
      <w:pPr>
        <w:ind w:left="-23" w:hanging="360"/>
      </w:pPr>
      <w:rPr>
        <w:rFonts w:hint="default"/>
      </w:rPr>
    </w:lvl>
    <w:lvl w:ilvl="1" w:tplc="04090019" w:tentative="1">
      <w:start w:val="1"/>
      <w:numFmt w:val="lowerLetter"/>
      <w:lvlText w:val="%2."/>
      <w:lvlJc w:val="left"/>
      <w:pPr>
        <w:ind w:left="697" w:hanging="360"/>
      </w:pPr>
    </w:lvl>
    <w:lvl w:ilvl="2" w:tplc="0409001B" w:tentative="1">
      <w:start w:val="1"/>
      <w:numFmt w:val="lowerRoman"/>
      <w:lvlText w:val="%3."/>
      <w:lvlJc w:val="right"/>
      <w:pPr>
        <w:ind w:left="1417" w:hanging="180"/>
      </w:pPr>
    </w:lvl>
    <w:lvl w:ilvl="3" w:tplc="0409000F" w:tentative="1">
      <w:start w:val="1"/>
      <w:numFmt w:val="decimal"/>
      <w:lvlText w:val="%4."/>
      <w:lvlJc w:val="left"/>
      <w:pPr>
        <w:ind w:left="2137" w:hanging="360"/>
      </w:pPr>
    </w:lvl>
    <w:lvl w:ilvl="4" w:tplc="04090019" w:tentative="1">
      <w:start w:val="1"/>
      <w:numFmt w:val="lowerLetter"/>
      <w:lvlText w:val="%5."/>
      <w:lvlJc w:val="left"/>
      <w:pPr>
        <w:ind w:left="2857" w:hanging="360"/>
      </w:pPr>
    </w:lvl>
    <w:lvl w:ilvl="5" w:tplc="0409001B" w:tentative="1">
      <w:start w:val="1"/>
      <w:numFmt w:val="lowerRoman"/>
      <w:lvlText w:val="%6."/>
      <w:lvlJc w:val="right"/>
      <w:pPr>
        <w:ind w:left="3577" w:hanging="180"/>
      </w:pPr>
    </w:lvl>
    <w:lvl w:ilvl="6" w:tplc="0409000F" w:tentative="1">
      <w:start w:val="1"/>
      <w:numFmt w:val="decimal"/>
      <w:lvlText w:val="%7."/>
      <w:lvlJc w:val="left"/>
      <w:pPr>
        <w:ind w:left="4297" w:hanging="360"/>
      </w:pPr>
    </w:lvl>
    <w:lvl w:ilvl="7" w:tplc="04090019" w:tentative="1">
      <w:start w:val="1"/>
      <w:numFmt w:val="lowerLetter"/>
      <w:lvlText w:val="%8."/>
      <w:lvlJc w:val="left"/>
      <w:pPr>
        <w:ind w:left="5017" w:hanging="360"/>
      </w:pPr>
    </w:lvl>
    <w:lvl w:ilvl="8" w:tplc="0409001B" w:tentative="1">
      <w:start w:val="1"/>
      <w:numFmt w:val="lowerRoman"/>
      <w:lvlText w:val="%9."/>
      <w:lvlJc w:val="right"/>
      <w:pPr>
        <w:ind w:left="573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6AB"/>
    <w:rsid w:val="0003272B"/>
    <w:rsid w:val="000426AB"/>
    <w:rsid w:val="005762DA"/>
    <w:rsid w:val="00FF6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2DA"/>
    <w:pPr>
      <w:spacing w:after="160" w:line="259" w:lineRule="auto"/>
    </w:pPr>
  </w:style>
  <w:style w:type="paragraph" w:styleId="Heading5">
    <w:name w:val="heading 5"/>
    <w:basedOn w:val="Normal"/>
    <w:next w:val="Normal"/>
    <w:link w:val="Heading5Char"/>
    <w:qFormat/>
    <w:rsid w:val="005762DA"/>
    <w:pPr>
      <w:keepNext/>
      <w:bidi/>
      <w:spacing w:after="0" w:line="240" w:lineRule="auto"/>
      <w:jc w:val="lowKashida"/>
      <w:outlineLvl w:val="4"/>
    </w:pPr>
    <w:rPr>
      <w:rFonts w:ascii="Times New Roman" w:eastAsia="Times New Roman" w:hAnsi="Times New Roman" w:cs="Arabic Transparent"/>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762DA"/>
    <w:rPr>
      <w:rFonts w:ascii="Times New Roman" w:eastAsia="Times New Roman" w:hAnsi="Times New Roman" w:cs="Arabic Transparent"/>
      <w:sz w:val="20"/>
      <w:szCs w:val="28"/>
    </w:rPr>
  </w:style>
  <w:style w:type="paragraph" w:styleId="ListParagraph">
    <w:name w:val="List Paragraph"/>
    <w:basedOn w:val="Normal"/>
    <w:uiPriority w:val="34"/>
    <w:qFormat/>
    <w:rsid w:val="005762DA"/>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5762DA"/>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5762DA"/>
    <w:rPr>
      <w:rFonts w:ascii="Times New Roman" w:eastAsia="Times New Roman" w:hAnsi="Times New Roman" w:cs="Arabic Transparent"/>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2DA"/>
    <w:pPr>
      <w:spacing w:after="160" w:line="259" w:lineRule="auto"/>
    </w:pPr>
  </w:style>
  <w:style w:type="paragraph" w:styleId="Heading5">
    <w:name w:val="heading 5"/>
    <w:basedOn w:val="Normal"/>
    <w:next w:val="Normal"/>
    <w:link w:val="Heading5Char"/>
    <w:qFormat/>
    <w:rsid w:val="005762DA"/>
    <w:pPr>
      <w:keepNext/>
      <w:bidi/>
      <w:spacing w:after="0" w:line="240" w:lineRule="auto"/>
      <w:jc w:val="lowKashida"/>
      <w:outlineLvl w:val="4"/>
    </w:pPr>
    <w:rPr>
      <w:rFonts w:ascii="Times New Roman" w:eastAsia="Times New Roman" w:hAnsi="Times New Roman" w:cs="Arabic Transparent"/>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762DA"/>
    <w:rPr>
      <w:rFonts w:ascii="Times New Roman" w:eastAsia="Times New Roman" w:hAnsi="Times New Roman" w:cs="Arabic Transparent"/>
      <w:sz w:val="20"/>
      <w:szCs w:val="28"/>
    </w:rPr>
  </w:style>
  <w:style w:type="paragraph" w:styleId="ListParagraph">
    <w:name w:val="List Paragraph"/>
    <w:basedOn w:val="Normal"/>
    <w:uiPriority w:val="34"/>
    <w:qFormat/>
    <w:rsid w:val="005762DA"/>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5762DA"/>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5762DA"/>
    <w:rPr>
      <w:rFonts w:ascii="Times New Roman" w:eastAsia="Times New Roman" w:hAnsi="Times New Roman" w:cs="Arabic Transparent"/>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2020-04-21T12:32:00Z</dcterms:created>
  <dcterms:modified xsi:type="dcterms:W3CDTF">2020-04-21T12:33:00Z</dcterms:modified>
</cp:coreProperties>
</file>