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1B2" w:rsidRPr="000C44E7" w:rsidRDefault="00DC21B2" w:rsidP="00DC21B2">
      <w:pPr>
        <w:bidi/>
        <w:spacing w:after="0" w:line="360" w:lineRule="auto"/>
        <w:jc w:val="center"/>
        <w:rPr>
          <w:rFonts w:asciiTheme="majorBidi" w:hAnsiTheme="majorBidi" w:cstheme="majorBidi"/>
          <w:b/>
          <w:bCs/>
          <w:sz w:val="32"/>
          <w:szCs w:val="32"/>
          <w:lang w:bidi="ar-BH"/>
        </w:rPr>
      </w:pPr>
      <w:r w:rsidRPr="000C44E7">
        <w:rPr>
          <w:rFonts w:asciiTheme="majorBidi" w:hAnsiTheme="majorBidi" w:cstheme="majorBidi"/>
          <w:b/>
          <w:bCs/>
          <w:sz w:val="32"/>
          <w:szCs w:val="32"/>
          <w:rtl/>
          <w:lang w:bidi="ar-BH"/>
        </w:rPr>
        <w:t>جلسة 17 من ابريل سنة 2017</w:t>
      </w:r>
    </w:p>
    <w:p w:rsidR="00DC21B2" w:rsidRPr="000C44E7" w:rsidRDefault="00DC21B2" w:rsidP="00DC21B2">
      <w:pPr>
        <w:bidi/>
        <w:spacing w:after="0" w:line="360" w:lineRule="auto"/>
        <w:jc w:val="lowKashida"/>
        <w:rPr>
          <w:rFonts w:asciiTheme="majorBidi" w:hAnsiTheme="majorBidi" w:cstheme="majorBidi"/>
          <w:b/>
          <w:bCs/>
          <w:sz w:val="32"/>
          <w:szCs w:val="32"/>
          <w:rtl/>
          <w:lang w:bidi="ar-BH"/>
        </w:rPr>
      </w:pPr>
      <w:r w:rsidRPr="000C44E7">
        <w:rPr>
          <w:rFonts w:asciiTheme="majorBidi" w:hAnsiTheme="majorBidi" w:cstheme="majorBidi"/>
          <w:sz w:val="32"/>
          <w:szCs w:val="32"/>
          <w:rtl/>
          <w:lang w:bidi="ar-BH"/>
        </w:rPr>
        <w:t>برئاسة</w:t>
      </w:r>
      <w:r w:rsidRPr="000C44E7">
        <w:rPr>
          <w:rFonts w:asciiTheme="majorBidi" w:hAnsiTheme="majorBidi" w:cstheme="majorBidi" w:hint="cs"/>
          <w:sz w:val="32"/>
          <w:szCs w:val="32"/>
          <w:rtl/>
          <w:lang w:bidi="ar-BH"/>
        </w:rPr>
        <w:t xml:space="preserve"> :</w:t>
      </w:r>
      <w:r w:rsidRPr="000C44E7">
        <w:rPr>
          <w:rFonts w:asciiTheme="majorBidi" w:hAnsiTheme="majorBidi" w:cstheme="majorBidi"/>
          <w:sz w:val="32"/>
          <w:szCs w:val="32"/>
          <w:rtl/>
          <w:lang w:bidi="ar-BH"/>
        </w:rPr>
        <w:t xml:space="preserve"> المستشا</w:t>
      </w:r>
      <w:r w:rsidRPr="000C44E7">
        <w:rPr>
          <w:rFonts w:asciiTheme="majorBidi" w:hAnsiTheme="majorBidi" w:cstheme="majorBidi" w:hint="cs"/>
          <w:sz w:val="32"/>
          <w:szCs w:val="32"/>
          <w:rtl/>
          <w:lang w:bidi="ar-BH"/>
        </w:rPr>
        <w:t>ر</w:t>
      </w:r>
      <w:r w:rsidRPr="000C44E7">
        <w:rPr>
          <w:rFonts w:asciiTheme="majorBidi" w:hAnsiTheme="majorBidi" w:cstheme="majorBidi"/>
          <w:sz w:val="32"/>
          <w:szCs w:val="32"/>
          <w:lang w:bidi="ar-BH"/>
        </w:rPr>
        <w:t xml:space="preserve"> </w:t>
      </w:r>
      <w:r w:rsidRPr="000C44E7">
        <w:rPr>
          <w:rFonts w:asciiTheme="majorBidi" w:hAnsiTheme="majorBidi" w:cstheme="majorBidi"/>
          <w:sz w:val="32"/>
          <w:szCs w:val="32"/>
          <w:rtl/>
          <w:lang w:bidi="ar-BH"/>
        </w:rPr>
        <w:t>علي يوسف منصور</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وعضوية المستشارين</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يحي</w:t>
      </w:r>
      <w:r w:rsidRPr="000C44E7">
        <w:rPr>
          <w:rFonts w:asciiTheme="majorBidi" w:hAnsiTheme="majorBidi" w:cstheme="majorBidi" w:hint="cs"/>
          <w:sz w:val="32"/>
          <w:szCs w:val="32"/>
          <w:rtl/>
          <w:lang w:bidi="ar-BH"/>
        </w:rPr>
        <w:t>ى</w:t>
      </w:r>
      <w:r w:rsidRPr="000C44E7">
        <w:rPr>
          <w:rFonts w:asciiTheme="majorBidi" w:hAnsiTheme="majorBidi" w:cstheme="majorBidi"/>
          <w:sz w:val="32"/>
          <w:szCs w:val="32"/>
          <w:rtl/>
          <w:lang w:bidi="ar-BH"/>
        </w:rPr>
        <w:t xml:space="preserve"> فتحي شافعي يمامة ،عبدالله يعقوب عبدالرحمن ، محمد حسن البوعينين ، عبدالمنعم </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براهيم الشهاوي</w:t>
      </w:r>
    </w:p>
    <w:p w:rsidR="00DC21B2" w:rsidRPr="000C44E7" w:rsidRDefault="00DC21B2" w:rsidP="00DC21B2">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w:t>
      </w:r>
    </w:p>
    <w:p w:rsidR="00DC21B2" w:rsidRPr="000C44E7" w:rsidRDefault="00DC21B2" w:rsidP="00DC21B2">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 xml:space="preserve">(  144 </w:t>
      </w:r>
      <w:r w:rsidRPr="000C44E7">
        <w:rPr>
          <w:rFonts w:asciiTheme="majorBidi" w:hAnsiTheme="majorBidi" w:cstheme="majorBidi"/>
          <w:b/>
          <w:bCs/>
          <w:sz w:val="32"/>
          <w:szCs w:val="32"/>
          <w:lang w:bidi="ar-BH"/>
        </w:rPr>
        <w:t xml:space="preserve"> </w:t>
      </w:r>
      <w:r w:rsidRPr="000C44E7">
        <w:rPr>
          <w:rFonts w:asciiTheme="majorBidi" w:hAnsiTheme="majorBidi" w:cstheme="majorBidi"/>
          <w:b/>
          <w:bCs/>
          <w:sz w:val="32"/>
          <w:szCs w:val="32"/>
          <w:rtl/>
          <w:lang w:bidi="ar-BH"/>
        </w:rPr>
        <w:t>)</w:t>
      </w:r>
    </w:p>
    <w:p w:rsidR="00DC21B2" w:rsidRPr="000C44E7" w:rsidRDefault="00DC21B2" w:rsidP="00DC21B2">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 xml:space="preserve">الطعن رقم 139 لسنة 2015 </w:t>
      </w:r>
    </w:p>
    <w:p w:rsidR="00DC21B2" w:rsidRPr="000C44E7" w:rsidRDefault="00DC21B2" w:rsidP="00DC21B2">
      <w:pPr>
        <w:bidi/>
        <w:spacing w:after="0" w:line="360" w:lineRule="auto"/>
        <w:jc w:val="both"/>
        <w:rPr>
          <w:rFonts w:asciiTheme="majorBidi" w:hAnsiTheme="majorBidi" w:cstheme="majorBidi"/>
          <w:b/>
          <w:bCs/>
          <w:sz w:val="32"/>
          <w:szCs w:val="32"/>
          <w:u w:val="single"/>
          <w:rtl/>
          <w:lang w:bidi="ar-BH"/>
        </w:rPr>
      </w:pPr>
      <w:r w:rsidRPr="000C44E7">
        <w:rPr>
          <w:rFonts w:asciiTheme="majorBidi" w:hAnsiTheme="majorBidi" w:cstheme="majorBidi"/>
          <w:b/>
          <w:bCs/>
          <w:sz w:val="32"/>
          <w:szCs w:val="32"/>
          <w:u w:val="single"/>
          <w:rtl/>
          <w:lang w:bidi="ar-BH"/>
        </w:rPr>
        <w:t xml:space="preserve"> (1-3) اثبات . ايجار . حكم"عيوب التدليل : مخالفة الثابت بالأوراق</w:t>
      </w:r>
      <w:r w:rsidRPr="000C44E7">
        <w:rPr>
          <w:rFonts w:asciiTheme="majorBidi" w:hAnsiTheme="majorBidi" w:cstheme="majorBidi" w:hint="cs"/>
          <w:b/>
          <w:bCs/>
          <w:sz w:val="32"/>
          <w:szCs w:val="32"/>
          <w:u w:val="single"/>
          <w:rtl/>
          <w:lang w:bidi="ar-BH"/>
        </w:rPr>
        <w:t xml:space="preserve"> -</w:t>
      </w:r>
      <w:r w:rsidRPr="000C44E7">
        <w:rPr>
          <w:rFonts w:asciiTheme="majorBidi" w:hAnsiTheme="majorBidi" w:cstheme="majorBidi"/>
          <w:b/>
          <w:bCs/>
          <w:sz w:val="32"/>
          <w:szCs w:val="32"/>
          <w:u w:val="single"/>
          <w:rtl/>
          <w:lang w:bidi="ar-BH"/>
        </w:rPr>
        <w:t xml:space="preserve"> الخطأ فى تطبيق القانون</w:t>
      </w:r>
      <w:r w:rsidRPr="000C44E7">
        <w:rPr>
          <w:rFonts w:asciiTheme="majorBidi" w:hAnsiTheme="majorBidi" w:cstheme="majorBidi" w:hint="cs"/>
          <w:b/>
          <w:bCs/>
          <w:sz w:val="32"/>
          <w:szCs w:val="32"/>
          <w:u w:val="single"/>
          <w:rtl/>
          <w:lang w:bidi="ar-BH"/>
        </w:rPr>
        <w:t xml:space="preserve"> -</w:t>
      </w:r>
      <w:r w:rsidRPr="000C44E7">
        <w:rPr>
          <w:rFonts w:asciiTheme="majorBidi" w:hAnsiTheme="majorBidi" w:cstheme="majorBidi"/>
          <w:b/>
          <w:bCs/>
          <w:sz w:val="32"/>
          <w:szCs w:val="32"/>
          <w:u w:val="single"/>
          <w:rtl/>
          <w:lang w:bidi="ar-BH"/>
        </w:rPr>
        <w:t xml:space="preserve"> الاخلال بحق الدفاع". دفاع. محكمة الموضوع. ملكية . نظام عام.</w:t>
      </w:r>
    </w:p>
    <w:p w:rsidR="00DC21B2" w:rsidRPr="000C44E7" w:rsidRDefault="00DC21B2" w:rsidP="00DC21B2">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(1) إبداء الخصم دفاعا يثير موضوعا يلزم حسمه أولا حتى تتمكن المحكمة من الفصل ف</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الدعوى . خروج الموضوع عن اختصاص المحكمة المتعلق بالنظام العام . مؤداه وجوب على المحكمة وقف الدعوى حتى الفصل فى هذه المسألة الأولية من المحكمة المختصة بها . م 163 مرافعات.</w:t>
      </w:r>
    </w:p>
    <w:p w:rsidR="00DC21B2" w:rsidRPr="000C44E7" w:rsidRDefault="00DC21B2" w:rsidP="00DC21B2">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(2) </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نتقال ملكية المأجور إلى خلف خاص لا ينه</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عقد الايجار . نفاذ الايجار ف</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حق الخلف . شرطه  أن يثبت أنه كان يعلم به أو كان له تاريخ ثابت سابق على السبب الذى يترتب عليه انتقال الملكية إليه . م 549 مدن</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w:t>
      </w:r>
    </w:p>
    <w:p w:rsidR="00DC21B2" w:rsidRPr="000C44E7" w:rsidRDefault="00DC21B2" w:rsidP="00DC21B2">
      <w:pPr>
        <w:bidi/>
        <w:spacing w:after="0" w:line="360" w:lineRule="auto"/>
        <w:jc w:val="both"/>
        <w:rPr>
          <w:rFonts w:asciiTheme="majorBidi" w:hAnsiTheme="majorBidi" w:cstheme="majorBidi"/>
          <w:sz w:val="32"/>
          <w:szCs w:val="32"/>
          <w:lang w:bidi="ar-BH"/>
        </w:rPr>
      </w:pPr>
      <w:r w:rsidRPr="000C44E7">
        <w:rPr>
          <w:rFonts w:asciiTheme="majorBidi" w:hAnsiTheme="majorBidi" w:cstheme="majorBidi"/>
          <w:sz w:val="32"/>
          <w:szCs w:val="32"/>
          <w:rtl/>
          <w:lang w:bidi="ar-BH"/>
        </w:rPr>
        <w:t xml:space="preserve"> (3) تمسك الطاعن ف</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دفاعه أمام محكمة الموضوع بطلب وقف الدعوى لحين الفصل ف</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الدعوى رقم 736 لسنة 2013 وه</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مسألة أولية يلزم حسمها أولا حتى تتمكن المحكمة من الفصل ف</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الدعوى المرفوعة على الطاعن مما يقتض</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وقف هذه الدعوى تعليقا لحين الفصل ف</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هذه المسألة الأولية بحكم بات . </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لتفات الحكم المطعون فيه عن طلب الطاعن وتأييد الحكم الابتدائ</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فيما قضى بالاخلاء وإلزامه بالأجرة . مخالفة وخطأ وإخلال.</w:t>
      </w:r>
    </w:p>
    <w:p w:rsidR="00DC21B2" w:rsidRPr="000C44E7" w:rsidRDefault="00DC21B2" w:rsidP="00DC21B2">
      <w:pPr>
        <w:tabs>
          <w:tab w:val="left" w:pos="1071"/>
        </w:tabs>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ab/>
      </w:r>
      <w:r w:rsidRPr="000C44E7">
        <w:rPr>
          <w:rFonts w:asciiTheme="majorBidi" w:hAnsiTheme="majorBidi" w:cstheme="majorBidi"/>
          <w:sz w:val="32"/>
          <w:szCs w:val="32"/>
          <w:rtl/>
          <w:lang w:bidi="ar-BH"/>
        </w:rPr>
        <w:tab/>
      </w:r>
      <w:r w:rsidRPr="000C44E7">
        <w:rPr>
          <w:rFonts w:asciiTheme="majorBidi" w:hAnsiTheme="majorBidi" w:cstheme="majorBidi"/>
          <w:sz w:val="32"/>
          <w:szCs w:val="32"/>
          <w:rtl/>
          <w:lang w:bidi="ar-BH"/>
        </w:rPr>
        <w:tab/>
      </w:r>
      <w:r w:rsidRPr="000C44E7">
        <w:rPr>
          <w:rFonts w:asciiTheme="majorBidi" w:hAnsiTheme="majorBidi" w:cstheme="majorBidi"/>
          <w:sz w:val="32"/>
          <w:szCs w:val="32"/>
          <w:rtl/>
          <w:lang w:bidi="ar-BH"/>
        </w:rPr>
        <w:tab/>
      </w:r>
    </w:p>
    <w:p w:rsidR="00DC21B2" w:rsidRPr="000C44E7" w:rsidRDefault="00DC21B2" w:rsidP="00DC21B2">
      <w:pPr>
        <w:bidi/>
        <w:spacing w:after="0" w:line="360" w:lineRule="auto"/>
        <w:jc w:val="center"/>
        <w:rPr>
          <w:rFonts w:asciiTheme="majorBidi" w:hAnsiTheme="majorBidi" w:cstheme="majorBidi"/>
          <w:b/>
          <w:bCs/>
          <w:sz w:val="32"/>
          <w:szCs w:val="32"/>
          <w:lang w:bidi="ar-BH"/>
        </w:rPr>
      </w:pPr>
      <w:r w:rsidRPr="000C44E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DC21B2" w:rsidRPr="000C44E7" w:rsidRDefault="00DC21B2" w:rsidP="00DC21B2">
      <w:pPr>
        <w:numPr>
          <w:ilvl w:val="0"/>
          <w:numId w:val="1"/>
        </w:numPr>
        <w:bidi/>
        <w:spacing w:after="0" w:line="360" w:lineRule="auto"/>
        <w:ind w:left="0"/>
        <w:jc w:val="lowKashida"/>
        <w:rPr>
          <w:rFonts w:asciiTheme="majorBidi" w:hAnsiTheme="majorBidi" w:cstheme="majorBidi"/>
          <w:sz w:val="32"/>
          <w:szCs w:val="32"/>
          <w:lang w:bidi="ar-BH"/>
        </w:rPr>
      </w:pPr>
      <w:r w:rsidRPr="000C44E7">
        <w:rPr>
          <w:rFonts w:asciiTheme="majorBidi" w:hAnsiTheme="majorBidi" w:cstheme="majorBidi"/>
          <w:sz w:val="32"/>
          <w:szCs w:val="32"/>
          <w:rtl/>
          <w:lang w:bidi="ar-BH"/>
        </w:rPr>
        <w:t xml:space="preserve">المقرر وفقا لمفهوم نص المادة 163 من قانون المرافعات أنه إذا أبدى خصم دفاعا يثير موضوعا يلزم حسمه أولا حتى تتمكن المحكمة من الفصل في الدعوى، وكان </w:t>
      </w:r>
      <w:r w:rsidRPr="000C44E7">
        <w:rPr>
          <w:rFonts w:asciiTheme="majorBidi" w:hAnsiTheme="majorBidi" w:cstheme="majorBidi"/>
          <w:sz w:val="32"/>
          <w:szCs w:val="32"/>
          <w:rtl/>
          <w:lang w:bidi="ar-BH"/>
        </w:rPr>
        <w:lastRenderedPageBreak/>
        <w:t>هذا الموضوع خارج اختصاص المحكمة المتعلق بالنظام العام يكون على المحكمة أن تأمر بوقف الدعوى حتى يتم الفصل في هذه المسألة الأولية من المحكمة المختصة بها</w:t>
      </w:r>
      <w:r w:rsidRPr="000C44E7">
        <w:rPr>
          <w:rFonts w:asciiTheme="majorBidi" w:hAnsiTheme="majorBidi" w:cstheme="majorBidi"/>
          <w:sz w:val="32"/>
          <w:szCs w:val="32"/>
          <w:lang w:bidi="ar-BH"/>
        </w:rPr>
        <w:t>.</w:t>
      </w:r>
    </w:p>
    <w:p w:rsidR="00DC21B2" w:rsidRPr="000C44E7" w:rsidRDefault="00DC21B2" w:rsidP="00DC21B2">
      <w:pPr>
        <w:numPr>
          <w:ilvl w:val="0"/>
          <w:numId w:val="1"/>
        </w:numPr>
        <w:bidi/>
        <w:spacing w:after="0" w:line="360" w:lineRule="auto"/>
        <w:ind w:left="0"/>
        <w:jc w:val="lowKashida"/>
        <w:rPr>
          <w:rFonts w:asciiTheme="majorBidi" w:hAnsiTheme="majorBidi" w:cstheme="majorBidi"/>
          <w:sz w:val="32"/>
          <w:szCs w:val="32"/>
          <w:lang w:bidi="ar-BH"/>
        </w:rPr>
      </w:pPr>
      <w:r w:rsidRPr="000C44E7">
        <w:rPr>
          <w:rFonts w:asciiTheme="majorBidi" w:hAnsiTheme="majorBidi" w:cstheme="majorBidi"/>
          <w:sz w:val="32"/>
          <w:szCs w:val="32"/>
          <w:rtl/>
          <w:lang w:bidi="ar-BH"/>
        </w:rPr>
        <w:t xml:space="preserve">المقرر أنه  ولئن كان الأصل أن انتقال ملكية المأجور إلى خلف خاص لا ينهي عقد الإيجار فإنه من المقرر بنص المادة 549 من القانون المدني أن الإيجار لا يكون نافذا في حق الخلف ما لم يثبت أنه كان يعلم به أو كان له تاريخ ثابت سابق على السبب الذي ترتب عليه انتقال الملكية إليه </w:t>
      </w:r>
      <w:r w:rsidRPr="000C44E7">
        <w:rPr>
          <w:rFonts w:asciiTheme="majorBidi" w:hAnsiTheme="majorBidi" w:cstheme="majorBidi"/>
          <w:sz w:val="32"/>
          <w:szCs w:val="32"/>
          <w:lang w:bidi="ar-BH"/>
        </w:rPr>
        <w:t>.</w:t>
      </w:r>
    </w:p>
    <w:p w:rsidR="00DC21B2" w:rsidRPr="000C44E7" w:rsidRDefault="00DC21B2" w:rsidP="00DC21B2">
      <w:pPr>
        <w:bidi/>
        <w:spacing w:after="0" w:line="360" w:lineRule="auto"/>
        <w:jc w:val="lowKashida"/>
        <w:rPr>
          <w:rFonts w:asciiTheme="majorBidi" w:hAnsiTheme="majorBidi" w:cstheme="majorBidi"/>
          <w:sz w:val="32"/>
          <w:szCs w:val="32"/>
          <w:lang w:bidi="ar-BH"/>
        </w:rPr>
      </w:pPr>
      <w:r w:rsidRPr="000C44E7">
        <w:rPr>
          <w:rFonts w:asciiTheme="majorBidi" w:hAnsiTheme="majorBidi" w:cstheme="majorBidi"/>
          <w:sz w:val="32"/>
          <w:szCs w:val="32"/>
          <w:rtl/>
          <w:lang w:bidi="ar-BH"/>
        </w:rPr>
        <w:t xml:space="preserve"> </w:t>
      </w:r>
    </w:p>
    <w:p w:rsidR="00DC21B2" w:rsidRPr="000C44E7" w:rsidRDefault="00DC21B2" w:rsidP="00DC21B2">
      <w:pPr>
        <w:numPr>
          <w:ilvl w:val="0"/>
          <w:numId w:val="1"/>
        </w:numPr>
        <w:bidi/>
        <w:spacing w:after="0" w:line="360" w:lineRule="auto"/>
        <w:ind w:left="0"/>
        <w:jc w:val="lowKashida"/>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اذ كان الطاعن قد تمسك في دفاعه بمحكمة الموضوع بطلب وقف الدعوى لحين الفصل في الدعوى رقم 736/2013 التي رفعها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للعقارات إلى المحكمة الكبرى المختصم فيها المطعون ضده بطلب صحة ونفاذ عقد الإيجار المبرم بينه وبين المالك السابق المؤرخ 3/1/2010 وهي مسألة أولية يلزم حسمها أولا حتى تتمكن المحكمة من الفصل في الدعوى المرفوعة على الطاعن ، مما يقتضي وقف هذه الدعوى تعليقا لحين الفصل في هذه المسألة الأولية بحكم بات، وإذ التفت الحكم المطعون فيه عن طلب الطاعن وأيد الحكم الابتدائي فيما قضى بالإخلاء وإلزامه بالأجرة فإنه يكون معيبا </w:t>
      </w:r>
      <w:r w:rsidRPr="000C44E7">
        <w:rPr>
          <w:rFonts w:asciiTheme="majorBidi" w:hAnsiTheme="majorBidi" w:cstheme="majorBidi"/>
          <w:sz w:val="32"/>
          <w:szCs w:val="32"/>
          <w:lang w:bidi="ar-BH"/>
        </w:rPr>
        <w:t>.</w:t>
      </w:r>
    </w:p>
    <w:p w:rsidR="00DC21B2" w:rsidRPr="000C44E7" w:rsidRDefault="00DC21B2" w:rsidP="00DC21B2">
      <w:pPr>
        <w:tabs>
          <w:tab w:val="center" w:pos="4061"/>
        </w:tabs>
        <w:bidi/>
        <w:spacing w:after="0" w:line="360" w:lineRule="auto"/>
        <w:jc w:val="lowKashida"/>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w:t>
      </w:r>
      <w:r w:rsidRPr="000C44E7">
        <w:rPr>
          <w:rFonts w:asciiTheme="majorBidi" w:hAnsiTheme="majorBidi" w:cstheme="majorBidi"/>
          <w:sz w:val="32"/>
          <w:szCs w:val="32"/>
          <w:rtl/>
          <w:lang w:bidi="ar-BH"/>
        </w:rPr>
        <w:tab/>
      </w:r>
    </w:p>
    <w:p w:rsidR="00DC21B2" w:rsidRPr="000C44E7" w:rsidRDefault="00DC21B2" w:rsidP="00DC21B2">
      <w:pPr>
        <w:bidi/>
        <w:spacing w:after="0" w:line="360" w:lineRule="auto"/>
        <w:jc w:val="center"/>
        <w:rPr>
          <w:rFonts w:asciiTheme="majorBidi" w:hAnsiTheme="majorBidi" w:cstheme="majorBidi"/>
          <w:b/>
          <w:bCs/>
          <w:sz w:val="32"/>
          <w:szCs w:val="32"/>
          <w:lang w:bidi="ar-BH"/>
        </w:rPr>
      </w:pPr>
      <w:r w:rsidRPr="000C44E7">
        <w:rPr>
          <w:rFonts w:asciiTheme="majorBidi" w:hAnsiTheme="majorBidi" w:cstheme="majorBidi"/>
          <w:b/>
          <w:bCs/>
          <w:sz w:val="32"/>
          <w:szCs w:val="32"/>
          <w:rtl/>
          <w:lang w:bidi="ar-BH"/>
        </w:rPr>
        <w:t xml:space="preserve">              ـــــــــــــــــــــــــــــــــــــــــــــــــــــــــــــــ</w:t>
      </w:r>
    </w:p>
    <w:p w:rsidR="00DC21B2" w:rsidRPr="000C44E7" w:rsidRDefault="00DC21B2" w:rsidP="00DC21B2">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المحكمة</w:t>
      </w:r>
    </w:p>
    <w:p w:rsidR="00DC21B2" w:rsidRPr="000C44E7" w:rsidRDefault="00DC21B2" w:rsidP="00DC21B2">
      <w:pPr>
        <w:bidi/>
        <w:spacing w:after="0" w:line="360" w:lineRule="auto"/>
        <w:ind w:firstLine="720"/>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بعد الاطلاع على الأوراق، وسماع التقرير الذي تلاه القاضي المقرر، والمداولة.</w:t>
      </w:r>
    </w:p>
    <w:p w:rsidR="00DC21B2" w:rsidRPr="000C44E7" w:rsidRDefault="00DC21B2" w:rsidP="00DC21B2">
      <w:pPr>
        <w:bidi/>
        <w:spacing w:after="0" w:line="360" w:lineRule="auto"/>
        <w:ind w:firstLine="720"/>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حيث إن الطعن استوفى أوضاعه الشكلية.</w:t>
      </w:r>
    </w:p>
    <w:p w:rsidR="00DC21B2" w:rsidRPr="000C44E7" w:rsidRDefault="00DC21B2" w:rsidP="00DC21B2">
      <w:pPr>
        <w:bidi/>
        <w:spacing w:after="0" w:line="360" w:lineRule="auto"/>
        <w:jc w:val="lowKashida"/>
        <w:rPr>
          <w:rFonts w:asciiTheme="majorBidi" w:hAnsiTheme="majorBidi" w:cstheme="majorBidi"/>
          <w:sz w:val="32"/>
          <w:szCs w:val="32"/>
          <w:rtl/>
          <w:lang w:bidi="ar-BH"/>
        </w:rPr>
      </w:pPr>
      <w:r w:rsidRPr="000C44E7">
        <w:rPr>
          <w:rFonts w:asciiTheme="majorBidi" w:hAnsiTheme="majorBidi" w:cstheme="majorBidi"/>
          <w:sz w:val="32"/>
          <w:szCs w:val="32"/>
          <w:rtl/>
          <w:lang w:bidi="ar-BH"/>
        </w:rPr>
        <w:tab/>
        <w:t xml:space="preserve">وحيث ان الوقائع – على ما يبين من الأوراق – تتحصل في أن المطعون ضده رفع الدعوى رقم 12207/2013 على الطاعن باللائحة المقدمة إلى المحكمة الصغرى المدنية بتاريخ 23/9/2013 يطلب الحكم بإلزامه بإخلاء الشقة المبينة باللائحة وأن يؤدي إليه مبلغ 1350 دينارا ، قائلا إنه يستأجر منه هذه الشقة بأجرة شهرية مقدارها 150 دينارا وقد تخلف عن سدادها لمدة تسعة </w:t>
      </w:r>
      <w:r w:rsidRPr="000C44E7">
        <w:rPr>
          <w:rFonts w:asciiTheme="majorBidi" w:hAnsiTheme="majorBidi" w:cstheme="majorBidi" w:hint="cs"/>
          <w:sz w:val="32"/>
          <w:szCs w:val="32"/>
          <w:rtl/>
          <w:lang w:bidi="ar-BH"/>
        </w:rPr>
        <w:t>أشهر</w:t>
      </w:r>
      <w:r w:rsidRPr="000C44E7">
        <w:rPr>
          <w:rFonts w:asciiTheme="majorBidi" w:hAnsiTheme="majorBidi" w:cstheme="majorBidi"/>
          <w:sz w:val="32"/>
          <w:szCs w:val="32"/>
          <w:rtl/>
          <w:lang w:bidi="ar-BH"/>
        </w:rPr>
        <w:t xml:space="preserve"> من يناير حتى سبتمبر سنة 2013. وكانت ملكية العقار الكائنة به هذه الشقة</w:t>
      </w:r>
      <w:r w:rsidRPr="000C44E7">
        <w:rPr>
          <w:rFonts w:asciiTheme="majorBidi" w:hAnsiTheme="majorBidi" w:cstheme="majorBidi"/>
          <w:sz w:val="32"/>
          <w:szCs w:val="32"/>
          <w:lang w:bidi="ar-BH"/>
        </w:rPr>
        <w:t xml:space="preserve"> </w:t>
      </w:r>
      <w:r w:rsidRPr="000C44E7">
        <w:rPr>
          <w:rFonts w:asciiTheme="majorBidi" w:hAnsiTheme="majorBidi" w:cstheme="majorBidi"/>
          <w:sz w:val="32"/>
          <w:szCs w:val="32"/>
          <w:rtl/>
          <w:lang w:bidi="ar-BH"/>
        </w:rPr>
        <w:t xml:space="preserve">قد انتقلت إليه بتاريخ 15/1/2013 بموجب الهبة الصادرة له </w:t>
      </w:r>
      <w:r w:rsidRPr="000C44E7">
        <w:rPr>
          <w:rFonts w:asciiTheme="majorBidi" w:hAnsiTheme="majorBidi" w:cstheme="majorBidi" w:hint="cs"/>
          <w:sz w:val="32"/>
          <w:szCs w:val="32"/>
          <w:rtl/>
          <w:lang w:bidi="ar-BH"/>
        </w:rPr>
        <w:t>ع</w:t>
      </w:r>
      <w:r w:rsidRPr="000C44E7">
        <w:rPr>
          <w:rFonts w:asciiTheme="majorBidi" w:hAnsiTheme="majorBidi" w:cstheme="majorBidi"/>
          <w:sz w:val="32"/>
          <w:szCs w:val="32"/>
          <w:rtl/>
          <w:lang w:bidi="ar-BH"/>
        </w:rPr>
        <w:t>ن مالكه السابق شقيقه ، واستند المدعي إلى عقد مكتوب موقع من المدعى عليه باستئجاره الشقة محل النزاع من المالك السابق لمدة سنة بدءا من 1/2/2013 حتى 1/2/2014 . لم يحضر المدعى عليه وحكمت المحكمة بإلزامه بإخلاء الشقة وأن يؤدي للمدعي المبلغ المطلوب ، فاستأنف الحكم بالاستئناف رقم 332/2014 وبتاريخ 30/11/2014 حكمت المحكمة الاستئنافية برفضه وتأييد الحكم المستأنف ، فطعن المستأنف في حكمها بطريق التمييز وأودع المكتب الفني لمحكمة التمييز مذكرة برأيه.</w:t>
      </w:r>
    </w:p>
    <w:p w:rsidR="00DC21B2" w:rsidRPr="000C44E7" w:rsidRDefault="00DC21B2" w:rsidP="00DC21B2">
      <w:pPr>
        <w:bidi/>
        <w:spacing w:after="0" w:line="360" w:lineRule="auto"/>
        <w:jc w:val="lowKashida"/>
        <w:rPr>
          <w:rFonts w:asciiTheme="majorBidi" w:hAnsiTheme="majorBidi" w:cstheme="majorBidi"/>
          <w:sz w:val="32"/>
          <w:szCs w:val="32"/>
          <w:rtl/>
          <w:lang w:bidi="ar-BH"/>
        </w:rPr>
      </w:pPr>
      <w:r w:rsidRPr="000C44E7">
        <w:rPr>
          <w:rFonts w:asciiTheme="majorBidi" w:hAnsiTheme="majorBidi" w:cstheme="majorBidi"/>
          <w:sz w:val="32"/>
          <w:szCs w:val="32"/>
          <w:rtl/>
          <w:lang w:bidi="ar-BH"/>
        </w:rPr>
        <w:tab/>
        <w:t>وحيث إن الطعن بني على ثلاثة أسباب ينعى بها الطاعن على الحكم المطعون فيه مخالفة الثابت بالأوراق والخطأ في تطبيق القانون والإخلال بحق الدفاع بقوله إنه تمسك في دفاعه أمام المحكمة الاستئنافية بأنه استأجر الشقة محل النزاع من مكتب للعقارات لمدة سنة بدءا من 1/4/2012 حتى 31/3/2013 ولا يزال هذا العقد ساريا بينهما ، وقد أنذره المؤجر في 5/1/2013 بسداد الأجرة له واستصدر ضده حكما بإلزامه بأجرة المدة من يناير حتى ابريل سنة 2013 وقد أوفاها له وما استحق بعدها حتى ديسمبر سنة 2013 ودفع ببطلان عقد الإيجار سند الدعوى الذي وقعه نتيجة الغش والحيلة عندما تقدم إليه المطعون ضده وصور له أن ملكية العقار قد انتقلت إليه بالشراء وأصبح المخول بتأجير وحداتها ، وأخفى عنه الحقيقة التي أطلعه عليها المؤجر له بمكتب للعقارات أنه هو صاحب الحق في تأجير الشقة بموجب اتفاقية تأجير واستثمار عقار طويل الأجل مؤرخة 3/1/2010 مبرمة بين صاحب المكتب المالك الأسبق للعقار الذي آجره إياه قطعة أرض لمدة خمس</w:t>
      </w:r>
      <w:r w:rsidRPr="000C44E7">
        <w:rPr>
          <w:rFonts w:asciiTheme="majorBidi" w:hAnsiTheme="majorBidi" w:cstheme="majorBidi" w:hint="cs"/>
          <w:sz w:val="32"/>
          <w:szCs w:val="32"/>
          <w:rtl/>
          <w:lang w:bidi="ar-BH"/>
        </w:rPr>
        <w:t xml:space="preserve"> </w:t>
      </w:r>
      <w:r w:rsidRPr="000C44E7">
        <w:rPr>
          <w:rFonts w:asciiTheme="majorBidi" w:hAnsiTheme="majorBidi" w:cstheme="majorBidi"/>
          <w:sz w:val="32"/>
          <w:szCs w:val="32"/>
          <w:rtl/>
          <w:lang w:bidi="ar-BH"/>
        </w:rPr>
        <w:t>وعشرين سنة تنتهي في 30/8/2035 بقصد استخدامها في إقامة بناية سكنية عليها واستغلالها بالتأجير للغير. وتمسك بأن مكتب العقارات رفع الدعوى رقم 736/2013 بصحة ونفاذ هذه الاتفاقية ، واختصم فيها المتعاقد معه والمطعون ضده ومن تل</w:t>
      </w:r>
      <w:r w:rsidRPr="000C44E7">
        <w:rPr>
          <w:rFonts w:asciiTheme="majorBidi" w:hAnsiTheme="majorBidi" w:cstheme="majorBidi" w:hint="cs"/>
          <w:sz w:val="32"/>
          <w:szCs w:val="32"/>
          <w:rtl/>
          <w:lang w:bidi="ar-BH"/>
        </w:rPr>
        <w:t>غ</w:t>
      </w:r>
      <w:r w:rsidRPr="000C44E7">
        <w:rPr>
          <w:rFonts w:asciiTheme="majorBidi" w:hAnsiTheme="majorBidi" w:cstheme="majorBidi"/>
          <w:sz w:val="32"/>
          <w:szCs w:val="32"/>
          <w:rtl/>
          <w:lang w:bidi="ar-BH"/>
        </w:rPr>
        <w:t>ى عنه الملكية بالهبة ، وطلب وقف نظر الاستئناف تعليقا لحين الفصل في هذه الدعوى الذي يتوقف عليه تحديد صاحب الصفة في تأجير الشقة واقتضاء أجرتها وهي مسألة أولية يتوقف عليها الفصل في الاستئناف . وإذ لم يستجب الحكم المطعون فيه لطلبه وقضى برفض الاستئناف وتأييد الحكم المستأنف فإنه يكون معيبا بما يستوجب نقضه.</w:t>
      </w:r>
    </w:p>
    <w:p w:rsidR="00DC21B2" w:rsidRPr="000C44E7" w:rsidRDefault="00DC21B2" w:rsidP="00DC21B2">
      <w:pPr>
        <w:bidi/>
        <w:spacing w:after="0" w:line="360" w:lineRule="auto"/>
        <w:jc w:val="lowKashida"/>
        <w:rPr>
          <w:rFonts w:asciiTheme="majorBidi" w:hAnsiTheme="majorBidi" w:cstheme="majorBidi"/>
          <w:sz w:val="32"/>
          <w:szCs w:val="32"/>
          <w:rtl/>
          <w:lang w:bidi="ar-BH"/>
        </w:rPr>
      </w:pPr>
      <w:r w:rsidRPr="000C44E7">
        <w:rPr>
          <w:rFonts w:asciiTheme="majorBidi" w:hAnsiTheme="majorBidi" w:cstheme="majorBidi"/>
          <w:sz w:val="32"/>
          <w:szCs w:val="32"/>
          <w:rtl/>
          <w:lang w:bidi="ar-BH"/>
        </w:rPr>
        <w:tab/>
        <w:t>وحيث ان هذا النعي في محله ، ذلك أنه لما كان من المقرر وفقا لمفهوم نص المادة 163 من قانون المرافعات أنه إذا أبدى خصم دفاعا يثير موضوعا يلزم حسمه أولا حتى تتمكن المحكمة من الفصل في الدعوى، وكان هذا الموضوع خارج اختصاص المحكمة المتعلق بالنظام العام يكون على المحكمة أن تأمر بوقف الدعوى حتى يتم الفصل في هذه المسألة الأولية من المحكمة المختصة بها، ولئن كان الأصل أن انتقال ملكية المأجور إلى خلف خاص لا ينهي عقد الإيجار فإنه من المقرر بنص المادة 549 من القانون المدني أن الإيجار لا يكون نافذا في حق الخلف ما لم يثبت أنه كان يعلم به أو كان له تاريخ ثابت سابق على السبب الذي ترتب عليه انتقال الملكية إليه ، وكان الطاعن قد تمسك في دفاعه بمحكمة الموضوع بطلب وقف الدعوى لحين الفصل في الدعوى رقم 736/2013 التي رفعها مكتب للعقارات إلى المحكمة الكبرى المختصم فيها المطعون ضده بطلب صحة ونفاذ عقد الإيجار المبرم بينه وبين المالك السابق المؤرخ 3/1/2010 وهي مسألة أولية يلزم حسمها أولا حتى تتمكن المحكمة من الفصل في الدعوى المرفوعة على الطاعن ، مما يقتضي وقف هذه الدعوى تعليقا لحين الفصل في هذه المسألة الأولية بحكم بات، وإذ التفت الحكم المطعون فيه عن طلب الطاعن وأيد الحكم الابتدائي فيما قضى بالإخلاء وإلزامه بالأجرة فإنه يكون معيبا بما يوجب نقضه مع الإحالة.</w:t>
      </w:r>
    </w:p>
    <w:p w:rsidR="00DC21B2" w:rsidRPr="000C44E7" w:rsidRDefault="00DC21B2" w:rsidP="00DC21B2">
      <w:pPr>
        <w:bidi/>
        <w:spacing w:after="0" w:line="360" w:lineRule="auto"/>
        <w:jc w:val="lowKashida"/>
        <w:rPr>
          <w:rFonts w:asciiTheme="majorBidi" w:hAnsiTheme="majorBidi" w:cstheme="majorBidi"/>
          <w:sz w:val="32"/>
          <w:szCs w:val="32"/>
          <w:rtl/>
          <w:lang w:bidi="ar-BH"/>
        </w:rPr>
      </w:pPr>
      <w:r w:rsidRPr="000C44E7">
        <w:rPr>
          <w:rFonts w:asciiTheme="majorBidi" w:hAnsiTheme="majorBidi" w:cstheme="majorBidi"/>
          <w:sz w:val="32"/>
          <w:szCs w:val="32"/>
          <w:rtl/>
          <w:lang w:bidi="ar-BH"/>
        </w:rPr>
        <w:tab/>
        <w:t xml:space="preserve">وحيث إنه يتعين إلزام المطعون ضده بالمصاريف. </w:t>
      </w:r>
    </w:p>
    <w:p w:rsidR="00FF667C" w:rsidRDefault="00FF667C">
      <w:pPr>
        <w:rPr>
          <w:lang w:bidi="ar-BH"/>
        </w:rPr>
      </w:pPr>
      <w:bookmarkStart w:id="0" w:name="_GoBack"/>
      <w:bookmarkEnd w:id="0"/>
    </w:p>
    <w:sectPr w:rsidR="00FF667C"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E078C"/>
    <w:multiLevelType w:val="hybridMultilevel"/>
    <w:tmpl w:val="ADAAEC30"/>
    <w:lvl w:ilvl="0" w:tplc="5EBE021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8F1"/>
    <w:rsid w:val="0003272B"/>
    <w:rsid w:val="003238F1"/>
    <w:rsid w:val="00DC21B2"/>
    <w:rsid w:val="00FF66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1B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1B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920</Words>
  <Characters>5250</Characters>
  <Application>Microsoft Office Word</Application>
  <DocSecurity>0</DocSecurity>
  <Lines>43</Lines>
  <Paragraphs>12</Paragraphs>
  <ScaleCrop>false</ScaleCrop>
  <Company/>
  <LinksUpToDate>false</LinksUpToDate>
  <CharactersWithSpaces>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2020-04-21T12:55:00Z</dcterms:created>
  <dcterms:modified xsi:type="dcterms:W3CDTF">2020-04-21T12:55:00Z</dcterms:modified>
</cp:coreProperties>
</file>