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20" w:rsidRPr="000758A9" w:rsidRDefault="00955E20" w:rsidP="00955E20">
      <w:pPr>
        <w:tabs>
          <w:tab w:val="left" w:pos="7149"/>
        </w:tabs>
        <w:spacing w:after="0" w:line="360" w:lineRule="auto"/>
        <w:jc w:val="center"/>
        <w:rPr>
          <w:rFonts w:asciiTheme="majorBidi" w:hAnsiTheme="majorBidi" w:cstheme="majorBidi"/>
          <w:b/>
          <w:bCs/>
          <w:sz w:val="32"/>
          <w:szCs w:val="32"/>
          <w:lang w:bidi="ar-BH"/>
        </w:rPr>
      </w:pPr>
      <w:r w:rsidRPr="000758A9">
        <w:rPr>
          <w:rFonts w:asciiTheme="majorBidi" w:hAnsiTheme="majorBidi" w:cstheme="majorBidi"/>
          <w:b/>
          <w:bCs/>
          <w:sz w:val="32"/>
          <w:szCs w:val="32"/>
          <w:rtl/>
          <w:lang w:bidi="ar-BH"/>
        </w:rPr>
        <w:t xml:space="preserve">جلسة 29 من </w:t>
      </w:r>
      <w:r w:rsidRPr="000758A9">
        <w:rPr>
          <w:rFonts w:asciiTheme="majorBidi" w:hAnsiTheme="majorBidi" w:cstheme="majorBidi"/>
          <w:b/>
          <w:bCs/>
          <w:sz w:val="32"/>
          <w:szCs w:val="32"/>
          <w:rtl/>
        </w:rPr>
        <w:t>أكتوبر</w:t>
      </w:r>
      <w:r w:rsidRPr="000758A9">
        <w:rPr>
          <w:rFonts w:asciiTheme="majorBidi" w:hAnsiTheme="majorBidi" w:cstheme="majorBidi"/>
          <w:b/>
          <w:bCs/>
          <w:sz w:val="32"/>
          <w:szCs w:val="32"/>
          <w:rtl/>
          <w:lang w:bidi="ar-BH"/>
        </w:rPr>
        <w:t xml:space="preserve"> سنة 2017</w:t>
      </w:r>
    </w:p>
    <w:p w:rsidR="00955E20" w:rsidRPr="000758A9" w:rsidRDefault="00955E20" w:rsidP="00955E20">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 </w:t>
      </w:r>
      <w:r w:rsidRPr="000758A9">
        <w:rPr>
          <w:rFonts w:asciiTheme="majorBidi" w:hAnsiTheme="majorBidi" w:cstheme="majorBidi"/>
          <w:b/>
          <w:bCs/>
          <w:sz w:val="32"/>
          <w:szCs w:val="32"/>
          <w:rtl/>
          <w:lang w:bidi="ar-BH"/>
        </w:rPr>
        <w:t>المستشار عبدالله بن حسن البوعينين</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وعضوية المستشارين </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علي يوسف منصور ، نادر السيد علي عبدالمطلب ، عبدالله يعقوب عبدالرحمن </w:t>
      </w:r>
    </w:p>
    <w:p w:rsidR="00955E20" w:rsidRPr="000758A9" w:rsidRDefault="00955E20" w:rsidP="00955E20">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955E20" w:rsidRPr="000758A9" w:rsidRDefault="00955E20" w:rsidP="00955E20">
      <w:pPr>
        <w:tabs>
          <w:tab w:val="center" w:pos="3817"/>
          <w:tab w:val="left" w:pos="5319"/>
        </w:tabs>
        <w:spacing w:after="0" w:line="360" w:lineRule="auto"/>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ab/>
      </w:r>
    </w:p>
    <w:p w:rsidR="00955E20" w:rsidRPr="000758A9" w:rsidRDefault="00955E20" w:rsidP="00955E20">
      <w:pPr>
        <w:tabs>
          <w:tab w:val="center" w:pos="3817"/>
          <w:tab w:val="left" w:pos="5319"/>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118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955E20" w:rsidRPr="000758A9" w:rsidRDefault="00955E20" w:rsidP="00955E20">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101 لسنة 2016 </w:t>
      </w:r>
    </w:p>
    <w:p w:rsidR="00955E20" w:rsidRPr="000758A9" w:rsidRDefault="00955E20" w:rsidP="00955E20">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(1-4) أعمال تجارية. تمييز. حكم " اللجان القضائية" " الطعن في الأحكام". دستور. قضاء</w:t>
      </w:r>
      <w:r w:rsidRPr="000758A9">
        <w:rPr>
          <w:rFonts w:asciiTheme="majorBidi" w:hAnsiTheme="majorBidi" w:cstheme="majorBidi"/>
          <w:b/>
          <w:bCs/>
          <w:sz w:val="32"/>
          <w:szCs w:val="32"/>
          <w:u w:val="single"/>
          <w:lang w:bidi="ar-BH"/>
        </w:rPr>
        <w:t xml:space="preserve"> </w:t>
      </w:r>
      <w:r w:rsidRPr="000758A9">
        <w:rPr>
          <w:rFonts w:asciiTheme="majorBidi" w:hAnsiTheme="majorBidi" w:cstheme="majorBidi"/>
          <w:b/>
          <w:bCs/>
          <w:sz w:val="32"/>
          <w:szCs w:val="32"/>
          <w:u w:val="single"/>
          <w:rtl/>
          <w:lang w:bidi="ar-BH"/>
        </w:rPr>
        <w:t>" اللجان القضائية " . مشاريع عقارية متعثر</w:t>
      </w:r>
      <w:r w:rsidRPr="000758A9">
        <w:rPr>
          <w:rFonts w:asciiTheme="majorBidi" w:hAnsiTheme="majorBidi" w:cstheme="majorBidi" w:hint="cs"/>
          <w:b/>
          <w:bCs/>
          <w:sz w:val="32"/>
          <w:szCs w:val="32"/>
          <w:u w:val="single"/>
          <w:rtl/>
          <w:lang w:bidi="ar-BH"/>
        </w:rPr>
        <w:t>ة</w:t>
      </w:r>
      <w:r w:rsidRPr="000758A9">
        <w:rPr>
          <w:rFonts w:asciiTheme="majorBidi" w:hAnsiTheme="majorBidi" w:cstheme="majorBidi"/>
          <w:b/>
          <w:bCs/>
          <w:sz w:val="32"/>
          <w:szCs w:val="32"/>
          <w:u w:val="single"/>
          <w:rtl/>
          <w:lang w:bidi="ar-BH"/>
        </w:rPr>
        <w:t xml:space="preserve">. </w:t>
      </w:r>
    </w:p>
    <w:p w:rsidR="00955E20" w:rsidRPr="000758A9" w:rsidRDefault="00955E20" w:rsidP="00955E20">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جواز الدفع بعدم دستورية النص القانوني أثناء نظر الدعوى أمام أي محكمة</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تحديد. م 18 ق المحكمة الدستورية. مؤدى ذلك. جواز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ثارته أول مرة أمام محكمة التمييز. إعمال أثره في وقف نظر الطعن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حين الفصل فيه من المحكمة الدستورية. شرطه أن يكون منتجا وجديا.</w:t>
      </w:r>
    </w:p>
    <w:p w:rsidR="00955E20" w:rsidRPr="000758A9" w:rsidRDefault="00955E20" w:rsidP="00955E20">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(2) إعمال مبدأ المساواة بين المواطنين كدعامة للمجتمع تكفلها الدولة. لازمه تماثل المركز القانوني. </w:t>
      </w:r>
    </w:p>
    <w:p w:rsidR="00955E20" w:rsidRPr="000758A9" w:rsidRDefault="00955E20" w:rsidP="00955E20">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المرسوم بقانون رقم 66 لسنة 2014 بشأن تسوية مشاريع التطوير العقاري المتعثرة. الهدف من إصداره قصر إعمال القانون على المشاريع العقارية دون غيرها من المشاريع المتعثرة في مجالات اخرى. لا مخالفة فيه للدستور. علة ذلك عدم تماثل المراكز القانونية بينهما. اللجنة المشار اليها في المادة الخامسة منه بحسب تشكيلها واختصاصها وكيفية مباشرتها لعملها هي لجنة قضائية وما تصدره من قرارات تعد </w:t>
      </w:r>
      <w:r w:rsidRPr="000758A9">
        <w:rPr>
          <w:rFonts w:asciiTheme="majorBidi" w:hAnsiTheme="majorBidi" w:cstheme="majorBidi" w:hint="cs"/>
          <w:sz w:val="32"/>
          <w:szCs w:val="32"/>
          <w:rtl/>
          <w:lang w:bidi="ar-BH"/>
        </w:rPr>
        <w:t>ك</w:t>
      </w:r>
      <w:r w:rsidRPr="000758A9">
        <w:rPr>
          <w:rFonts w:asciiTheme="majorBidi" w:hAnsiTheme="majorBidi" w:cstheme="majorBidi"/>
          <w:sz w:val="32"/>
          <w:szCs w:val="32"/>
          <w:rtl/>
          <w:lang w:bidi="ar-BH"/>
        </w:rPr>
        <w:t xml:space="preserve">أحكام بعد تذييلها بالصيغة التنفيذية ويجوز الطعن عليها أمام محكمة التمييز. مؤدى ذلك. أن عمل تلك اللجنة أحيط بسياج من الضمانات التي تكفل حق التقاضي ولم يستثن المشرع قرارات بعينها من جواز الطعن عليها او قصرها على </w:t>
      </w:r>
      <w:r w:rsidRPr="000758A9">
        <w:rPr>
          <w:rFonts w:asciiTheme="majorBidi" w:hAnsiTheme="majorBidi" w:cstheme="majorBidi"/>
          <w:sz w:val="32"/>
          <w:szCs w:val="32"/>
          <w:rtl/>
          <w:lang w:bidi="ar-BH"/>
        </w:rPr>
        <w:lastRenderedPageBreak/>
        <w:t>القرار</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النهائي ببيع المشروع في المزاد العلني. الادعاء بعدم كفالة حق التقاضي أمام اللجنة</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على غير سند.</w:t>
      </w:r>
    </w:p>
    <w:p w:rsidR="00955E20" w:rsidRPr="000758A9" w:rsidRDefault="00955E20" w:rsidP="00955E20">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(4) للجنة التسوية المنصوص عليها في القانون رقم 66 لسنة 2014 أن تمنح المطور مدة زمنية لا تتجاوز شهرا واحدا لتقديم مقترح لتسوية مشروع</w:t>
      </w:r>
      <w:r w:rsidRPr="000758A9">
        <w:rPr>
          <w:rFonts w:asciiTheme="majorBidi" w:hAnsiTheme="majorBidi" w:cstheme="majorBidi" w:hint="cs"/>
          <w:sz w:val="32"/>
          <w:szCs w:val="32"/>
          <w:rtl/>
          <w:lang w:bidi="ar-BH"/>
        </w:rPr>
        <w:t>ه</w:t>
      </w:r>
      <w:r w:rsidRPr="000758A9">
        <w:rPr>
          <w:rFonts w:asciiTheme="majorBidi" w:hAnsiTheme="majorBidi" w:cstheme="majorBidi"/>
          <w:sz w:val="32"/>
          <w:szCs w:val="32"/>
          <w:rtl/>
          <w:lang w:bidi="ar-BH"/>
        </w:rPr>
        <w:t>. لها قبول المقترح أو تعديله أو رفضه.</w:t>
      </w:r>
    </w:p>
    <w:p w:rsidR="00955E20" w:rsidRPr="000758A9" w:rsidRDefault="00955E20" w:rsidP="00955E20">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1- لئن كانت المادة 18 من قانون المحكمة الدستورية قد أجازت الدفع بعدم دستورية النص القانوني أثناء نظر الدعوى أمام أي محكمة</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تحديد وكان هذا الدفع لا يعدو أن يكون ادعاء بمخالفة أحكام الدستور وهو القانون الأساسي ولا يرتبط الفصل فيه بأي عناصر واقعية ومن ثم يجوز إثارته أول مرة أمام محكمة التمييز إلا أنه يتعين للاعتداد به وإعمال أثره في وقف نظر الطعن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 xml:space="preserve">ى </w:t>
      </w:r>
      <w:r w:rsidRPr="000758A9">
        <w:rPr>
          <w:rFonts w:asciiTheme="majorBidi" w:hAnsiTheme="majorBidi" w:cstheme="majorBidi"/>
          <w:sz w:val="32"/>
          <w:szCs w:val="32"/>
          <w:rtl/>
          <w:lang w:bidi="ar-BH"/>
        </w:rPr>
        <w:t>حين الفصل فيه من المحكمة الدستورية أن يكون منتجا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بمعنى أن يكون النص المدفوع بعدم دستوريته لازما للفصل في الدعوى الموضوعية وأن يكون الادعاء بعدم الدستورية جديا له سند مقبول يجعله جديرا بالنظر فيه.</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2- إن مبدأ المساواة بين المواطنين كدعامة للمجتمع تكفلها الدولة طبقا لنص المادة الرابعة من الدستور يتطلب تماثل المركز القانوني. </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3- إن المرسوم بقانون رقم 66 لسنة 2014 قد صدر بشأن تسوية مشاريع التطوير العقارية المتعثرة فيطبق على كل مشروع تطوير عقاري تم بيع وحداته العقارية على الخريطة في المملكة و</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سلمت دفعات عنها مقابل ذلك وتعثر أو توقف عن التنفيذ بما يضر بالاقتصاد الوطني بالمملكة فإن ادعاء الطاعنة أن قصر إعمال القانون على المشاريع العقارية دون غيرها من المشاريع المتعثرة في مجالات أخرى يكون غير مقبول لعدم تماثل المراكز القانونية بينهما وأنه لم يقتصر على مشاريع عقارية متعثرة بعينها دون غيرها بل ورد عاما في هذا الشأن</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ولما كان تشكيل لجنة التسوية طبقا لنص المادة الخامسة من المرسوم بقانون سالف البيان يتكون من خمسة أعضاء بينهم ثلاثة من قضاة محكمة الاستئناف العليا المدنية واثنان من ذوي الخبرة والاختصاص يرشحهما مجلس الوزراء وأن يؤديا اليمين أمام رئيس اللجنة كما تطلب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مادته الحادية عشر</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أن تصدر قرارات اللجنة سببي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وبأغلبية الآراء وأنها مث</w:t>
      </w:r>
      <w:r w:rsidRPr="000758A9">
        <w:rPr>
          <w:rFonts w:asciiTheme="majorBidi" w:hAnsiTheme="majorBidi" w:cstheme="majorBidi" w:hint="cs"/>
          <w:sz w:val="32"/>
          <w:szCs w:val="32"/>
          <w:rtl/>
          <w:lang w:bidi="ar-BH"/>
        </w:rPr>
        <w:t>ل</w:t>
      </w:r>
      <w:r w:rsidRPr="000758A9">
        <w:rPr>
          <w:rFonts w:asciiTheme="majorBidi" w:hAnsiTheme="majorBidi" w:cstheme="majorBidi"/>
          <w:sz w:val="32"/>
          <w:szCs w:val="32"/>
          <w:rtl/>
          <w:lang w:bidi="ar-BH"/>
        </w:rPr>
        <w:t xml:space="preserve"> حكم قضائي بعد وضع الصيغة التنفيذية عليها من قسم كتاب محكمة الاستئناف العليا وبجواز الطعن فيها أمام محكمة التمييز خلال عشرة أيام من تاريخ نشرها في الجريدة الرسمية</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أناط بوزير العدل تحديد الإجراءات والقواعد المتعلقة بنظر النزاع أمام اللجنة وقد أصدر نفاذا لذلك القرار رقم 12 لسنة 2015 الذي قصد في مادته الحادية عشر</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أن تسر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أحكام قانون المرافعات المدنية والتجارية فيما لم يرد بشأنه نص خاص في القانون وهذا القرار وبما لا يتعارض مع أحكامه وهو ما يشير جميعه إلى تلك اللجنة بحسب تشكيلها واختصاصها أنها لجنة قضائية وأن ما تصدره من قرارات تعد مث</w:t>
      </w:r>
      <w:r w:rsidRPr="000758A9">
        <w:rPr>
          <w:rFonts w:asciiTheme="majorBidi" w:hAnsiTheme="majorBidi" w:cstheme="majorBidi" w:hint="cs"/>
          <w:sz w:val="32"/>
          <w:szCs w:val="32"/>
          <w:rtl/>
          <w:lang w:bidi="ar-BH"/>
        </w:rPr>
        <w:t>ل</w:t>
      </w:r>
      <w:r w:rsidRPr="000758A9">
        <w:rPr>
          <w:rFonts w:asciiTheme="majorBidi" w:hAnsiTheme="majorBidi" w:cstheme="majorBidi"/>
          <w:sz w:val="32"/>
          <w:szCs w:val="32"/>
          <w:rtl/>
          <w:lang w:bidi="ar-BH"/>
        </w:rPr>
        <w:t xml:space="preserve"> أحكام بعد تذييلها بالصيغة التنفيذية ويجوز الطعن عليها أمام محكمة التمييز التي ألزمها القانون بالتصدي للفصل في موضوعها وقد أحيط عمل اللجنة بسياج من الضمانات التي تكفل حق التقاضي لأطراف النزاع أثناء مباشرتها مهامها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فضلا عن أن المشرع لم يستثن</w:t>
      </w:r>
      <w:r w:rsidRPr="000758A9">
        <w:rPr>
          <w:rFonts w:asciiTheme="majorBidi" w:hAnsiTheme="majorBidi" w:cstheme="majorBidi" w:hint="cs"/>
          <w:sz w:val="32"/>
          <w:szCs w:val="32"/>
          <w:rtl/>
          <w:lang w:bidi="ar-BH"/>
        </w:rPr>
        <w:t>ى</w:t>
      </w:r>
      <w:r w:rsidRPr="000758A9">
        <w:rPr>
          <w:rFonts w:asciiTheme="majorBidi" w:hAnsiTheme="majorBidi" w:cstheme="majorBidi"/>
          <w:sz w:val="32"/>
          <w:szCs w:val="32"/>
          <w:rtl/>
          <w:lang w:bidi="ar-BH"/>
        </w:rPr>
        <w:t xml:space="preserve"> قرارات بعينها من جواز الطعن عليها أمام محكمة التمييز أوقصرها على القرار النهائي ببيع المشروع في المزاد العلني فإن ما تثيره الطاعنة بشأن الادعاء بعدم كفالة حق التقاضي أمام اللجنة يكون غير قائم على سند مقبول. </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4- إن المشرع بنص المادة السابعة من المرسوم بقانون رقم 66 لسنة 2014 قد أباح للجنة التسوية أن تمنح المطور مدة زمنية لا تتجاوز شهرا واحدا لتقديم مقترح لتسوية مشروعه ولها قبول المقترح أو طلب تعديله في ضوء ملاحظاتها أو رفضه لصعوبة تطبيقه أو لأي سبب آخر .</w:t>
      </w:r>
    </w:p>
    <w:p w:rsidR="00955E20" w:rsidRPr="000758A9" w:rsidRDefault="00955E20" w:rsidP="00955E20">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955E20" w:rsidRPr="000758A9" w:rsidRDefault="00955E20" w:rsidP="00955E20">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حيث إن الطعن استوفى أوضاعه الشكلية.</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الوقائع – على ما يبين من الحكم المطعون فيه وسائر الأوراق – تتحصل في أن اللجنة الوزارية للإعمار والبنية التحتية قد أحالت إلى اللجنة المطعون ضدها مشروع --------------------- باعتباره من المشاريع العقارية المتعثرة طبقا لحكم المادة الرابعة من المرسوم بقانون رقم 66 لسنة 2014 وإذ باشرت اللجنة أعمالها حتى قررت البد</w:t>
      </w:r>
      <w:r w:rsidRPr="000758A9">
        <w:rPr>
          <w:rFonts w:asciiTheme="majorBidi" w:hAnsiTheme="majorBidi" w:cstheme="majorBidi" w:hint="cs"/>
          <w:sz w:val="32"/>
          <w:szCs w:val="32"/>
          <w:rtl/>
          <w:lang w:bidi="ar-BH"/>
        </w:rPr>
        <w:t>ء</w:t>
      </w:r>
      <w:r w:rsidRPr="000758A9">
        <w:rPr>
          <w:rFonts w:asciiTheme="majorBidi" w:hAnsiTheme="majorBidi" w:cstheme="majorBidi"/>
          <w:sz w:val="32"/>
          <w:szCs w:val="32"/>
          <w:rtl/>
          <w:lang w:bidi="ar-BH"/>
        </w:rPr>
        <w:t xml:space="preserve">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إجراءات البحث عن مطور جديد طعنت الطاعنة في هذا القرار بطريق التمييز وقدم المكتب الفني مذكرة برأيه في الطعن.</w:t>
      </w:r>
    </w:p>
    <w:p w:rsidR="00955E20" w:rsidRPr="000758A9" w:rsidRDefault="00955E20" w:rsidP="00955E20">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w:t>
      </w:r>
      <w:r w:rsidRPr="000758A9">
        <w:rPr>
          <w:rFonts w:asciiTheme="majorBidi" w:hAnsiTheme="majorBidi" w:cstheme="majorBidi"/>
          <w:sz w:val="32"/>
          <w:szCs w:val="32"/>
          <w:rtl/>
          <w:lang w:bidi="ar-BH"/>
        </w:rPr>
        <w:tab/>
        <w:t xml:space="preserve">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الطعن أقيم على سببين تنعى الطاعنة بالسبب الأول منهما على القرار المطعون فيه مخالفة الدستور</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وفي بيان ذلك تقول إن قرار اللجنة بالبد</w:t>
      </w:r>
      <w:r w:rsidRPr="000758A9">
        <w:rPr>
          <w:rFonts w:asciiTheme="majorBidi" w:hAnsiTheme="majorBidi" w:cstheme="majorBidi" w:hint="cs"/>
          <w:sz w:val="32"/>
          <w:szCs w:val="32"/>
          <w:rtl/>
          <w:lang w:bidi="ar-BH"/>
        </w:rPr>
        <w:t>ء</w:t>
      </w:r>
      <w:r w:rsidRPr="000758A9">
        <w:rPr>
          <w:rFonts w:asciiTheme="majorBidi" w:hAnsiTheme="majorBidi" w:cstheme="majorBidi"/>
          <w:sz w:val="32"/>
          <w:szCs w:val="32"/>
          <w:rtl/>
          <w:lang w:bidi="ar-BH"/>
        </w:rPr>
        <w:t xml:space="preserve">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 xml:space="preserve">إجراءات البحث عن مطور جديد استنادا منه إلى نصوص المواد 6 ، 7 ، 8 من المرسوم بقانون رقم 66 لسنة 2014 رغم مخالفة </w:t>
      </w:r>
      <w:r w:rsidRPr="000758A9">
        <w:rPr>
          <w:rFonts w:asciiTheme="majorBidi" w:hAnsiTheme="majorBidi" w:cstheme="majorBidi" w:hint="cs"/>
          <w:sz w:val="32"/>
          <w:szCs w:val="32"/>
          <w:rtl/>
          <w:lang w:bidi="ar-BH"/>
        </w:rPr>
        <w:t>هذه</w:t>
      </w:r>
      <w:r w:rsidRPr="000758A9">
        <w:rPr>
          <w:rFonts w:asciiTheme="majorBidi" w:hAnsiTheme="majorBidi" w:cstheme="majorBidi"/>
          <w:sz w:val="32"/>
          <w:szCs w:val="32"/>
          <w:rtl/>
          <w:lang w:bidi="ar-BH"/>
        </w:rPr>
        <w:t xml:space="preserve"> المواد لدستور مملكة البحرين الذي نص على مبدأ المساواة بين المواطنين أمام القانون وفي الحقوق والواجبات العامة طبقا للمادتين 4 ، 18 من الدستور في حين اختص المرسوم بقانون رقم 66 لسنة 2014 بالمشاريع العقارية المتعثرة دون غيرها من المشاريع في المجالات الأخرى كما أن المرسوم بقانون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سالف البيان خول لجنة التسوية سلطات مطلقة في إجراء تحقيق إداري والإحالة إلى النيابة العامة في حالة وجود شبهة جنائية واتخاذ الإجراءات التحفظية والوقتية والحق في بيع المشروع أو دمجه في مشروعات أخرى ولم يمنح ذوي الشأن حق التظلم في تلك القرارات أو الطعن عليها أو تقديم دفاعهم أمام اللجنة مما يعد ذلك اهدارا لمبدأ حق التقاضي الذي كفله الدستور في مادته العشرن</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كما أن الطعن على قرارات اللجنة أمام محكمة التمييز يقتصر على القرارات النهائية فقط دون غيرها من القرارات التي تصدر أثناء نظر الموضوع</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فضلا عن أن السلطات الممنوحة للجنة طبقا للمادة الثامنة من المرسوم بقانون رقم 66 لسنة 2014 باتخاذ إجراءات من شأنها بيع المشروع أو وضع قيود عليه عن طريق إخطار جهاز المساحة والتسجيل العقاري أو دمجه مع مشروع آخر يخل بالحماية التي كفلها الدستور في مادته التاسعة والمتعلقة بالملكية الخاصة مما يتعين التصريح لها برفع الدعوى الدستورية.</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هذا النعي غير مقبول</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ولئن كانت المادة 18 من قانون المحكمة الدستورية قد أجازت الدفع بعدم دستورية</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 xml:space="preserve">النص القانوني أثناء نظر الدعوى أمام أي محكمة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تحديد وكان هذا الدفع لا يعدو أن يكون ادعاء بمخالفة أحكام الدستور وهو القانون الأساسي ولا يرتبط الفصل فيه بأي عناصر واقعية ومن ثم يجوز إثارته أول مرة أمام محكمة التمييز إلا أنه يتعين للاعتداد به وإعمال أثره في وقف نظر الطعن لحين الفصل فيه من المحكمة الدستورية أن يكون منتجا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بمعنى أن يكون النص المدفوع بعدم دستوريته لازما للفصل في الدعوى الموضوعية وأن يكون الادعاء بعدم الدستورية جديا له سند مقبول يجعله جديرا بالنظر فيه. لما كان ذلك وكان مبدأ المساواة بين المواطنين كدعامة للمجتمع تكفلها الدولة طبقا لنص المادة الرابعة من الدستور يتطلب تماثل المركز القانوني وكان المرسوم بقانون رقم 66 لسنة 2014 قد صدر بشأن تسوية مشاريع التطوير العقارية المتعثرة فيطبق على كل مشروع تطوير عقاري تم بيع وحداته العقارية على الخريطة في المملكة و</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سلمت دفعات عنها مقابل ذلك وتعثر أو توقف عن التنفيذ بما يضر بالاقتصاد الوطني بالمملكة فإن ادعاء الطاعنة أن قصر إعمال القانون على المشاريع العقارية دون غيرها من المشاريع المتعثرة في مجالات أخرى يكون غير مقبول لعدم تماثل المراكز القانونية بينهما وأنه لم يقتصر على مشاريع عقارية متعثرة بعينها دون غيرها بل ورد عاما في هذا الشأن</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ولما كان تشكيل لجنة التسوية طبقا لنص المادة الخامسة من المرسوم بقانون </w:t>
      </w:r>
      <w:r w:rsidRPr="000758A9">
        <w:rPr>
          <w:rFonts w:asciiTheme="majorBidi" w:hAnsiTheme="majorBidi" w:cstheme="majorBidi" w:hint="cs"/>
          <w:sz w:val="32"/>
          <w:szCs w:val="32"/>
          <w:rtl/>
          <w:lang w:bidi="ar-BH"/>
        </w:rPr>
        <w:t>ال</w:t>
      </w:r>
      <w:r w:rsidRPr="000758A9">
        <w:rPr>
          <w:rFonts w:asciiTheme="majorBidi" w:hAnsiTheme="majorBidi" w:cstheme="majorBidi"/>
          <w:sz w:val="32"/>
          <w:szCs w:val="32"/>
          <w:rtl/>
          <w:lang w:bidi="ar-BH"/>
        </w:rPr>
        <w:t xml:space="preserve">سالف البيان يتكون من خمسة أعضاء بينهم ثلاثة من قضاة محكمة الاستئناف العليا المدنية واثنان من ذوي الخبرة والاختصاص يرشحهما مجلس الوزراء وأن يؤديا اليمين أمام رئيس اللجنة كما تطلب </w:t>
      </w:r>
      <w:r w:rsidRPr="000758A9">
        <w:rPr>
          <w:rFonts w:asciiTheme="majorBidi" w:hAnsiTheme="majorBidi" w:cstheme="majorBidi" w:hint="cs"/>
          <w:sz w:val="32"/>
          <w:szCs w:val="32"/>
          <w:rtl/>
          <w:lang w:bidi="ar-BH"/>
        </w:rPr>
        <w:t>في</w:t>
      </w:r>
      <w:r w:rsidRPr="000758A9">
        <w:rPr>
          <w:rFonts w:asciiTheme="majorBidi" w:hAnsiTheme="majorBidi" w:cstheme="majorBidi"/>
          <w:sz w:val="32"/>
          <w:szCs w:val="32"/>
          <w:rtl/>
          <w:lang w:bidi="ar-BH"/>
        </w:rPr>
        <w:t xml:space="preserve"> مادته الحادية عشر</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أن تصدر قرارات اللجنة سببي</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وبأغلبية الآراء وأنها </w:t>
      </w:r>
      <w:r w:rsidRPr="000758A9">
        <w:rPr>
          <w:rFonts w:asciiTheme="majorBidi" w:hAnsiTheme="majorBidi" w:cstheme="majorBidi" w:hint="cs"/>
          <w:sz w:val="32"/>
          <w:szCs w:val="32"/>
          <w:rtl/>
          <w:lang w:bidi="ar-BH"/>
        </w:rPr>
        <w:t xml:space="preserve">مثل </w:t>
      </w:r>
      <w:r w:rsidRPr="000758A9">
        <w:rPr>
          <w:rFonts w:asciiTheme="majorBidi" w:hAnsiTheme="majorBidi" w:cstheme="majorBidi"/>
          <w:sz w:val="32"/>
          <w:szCs w:val="32"/>
          <w:rtl/>
          <w:lang w:bidi="ar-BH"/>
        </w:rPr>
        <w:t>حكم قضائي بعد وضع الصيغة التنفيذية عليها من قسم كتاب</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محكمة الاستئناف العليا وبجواز الطعن فيها أمام محكمة التمييز خلال عشرة أيام من تاريخ نشرها في الجريدة الرسمية كما أناط بوزير العدل تحديد الإجراءات والقواعد المتعلقة بنظر النزاع أمام اللجنة وقد أصدر نفاذا لذلك القرار رقم 12 لسنة 2015 الذي قص في مادته الحادية عشر</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على أن تسر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أحكام قانون المرافعات المدنية والتجارية فيما لم يرد بشأنه نص خاص في القانون وهذا القرار وبما لا يتعارض مع أحكامه وهو ما يشير جميعه إلى تلك اللجنة بحسب تشكيلها واختصاصها أنها لجنة قضائية وأن ما تصدره من قرارات تعد مث</w:t>
      </w:r>
      <w:r w:rsidRPr="000758A9">
        <w:rPr>
          <w:rFonts w:asciiTheme="majorBidi" w:hAnsiTheme="majorBidi" w:cstheme="majorBidi" w:hint="cs"/>
          <w:sz w:val="32"/>
          <w:szCs w:val="32"/>
          <w:rtl/>
          <w:lang w:bidi="ar-BH"/>
        </w:rPr>
        <w:t>ل</w:t>
      </w:r>
      <w:r w:rsidRPr="000758A9">
        <w:rPr>
          <w:rFonts w:asciiTheme="majorBidi" w:hAnsiTheme="majorBidi" w:cstheme="majorBidi"/>
          <w:sz w:val="32"/>
          <w:szCs w:val="32"/>
          <w:rtl/>
          <w:lang w:bidi="ar-BH"/>
        </w:rPr>
        <w:t xml:space="preserve"> أحكام بعد تذييلها بالصيغة التنفيذية ويجوز الطعن عليها أمام محكمة التمييز</w:t>
      </w:r>
      <w:r w:rsidRPr="000758A9">
        <w:rPr>
          <w:rFonts w:asciiTheme="majorBidi" w:hAnsiTheme="majorBidi" w:cstheme="majorBidi" w:hint="cs"/>
          <w:sz w:val="32"/>
          <w:szCs w:val="32"/>
          <w:rtl/>
          <w:lang w:bidi="ar-BH"/>
        </w:rPr>
        <w:t xml:space="preserve"> </w:t>
      </w:r>
      <w:r w:rsidRPr="000758A9">
        <w:rPr>
          <w:rFonts w:asciiTheme="majorBidi" w:hAnsiTheme="majorBidi" w:cstheme="majorBidi"/>
          <w:sz w:val="32"/>
          <w:szCs w:val="32"/>
          <w:rtl/>
          <w:lang w:bidi="ar-BH"/>
        </w:rPr>
        <w:t>التي ألزمها القانون بالتصدي للفصل في موضوعها</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وقد أحيط عمل اللجنة بسياج من الضمانات التي تكفل حق التقاضي لأطراف النزاع أثناء مباشرتها مهامها فضلا عن أن المشرع لم يستثن قرارات بعينها من جواز الطعن عليها أمام محكمة التمييز أو قصرها على القرار النهائي ببيع المشروع في المزاد العلني فإن ما تثيره الطاعنة بشأن الادعاء بعدم كفالة حق التقاضي أمام اللجنة يكون غير قائم على سند مقبول. لما كان القرار المطعون فيه يتعلق بعرض المشروع على مستثمر جديد بغرض استكماله فإن ما تثيره الطاعنة بشأن عدم دستورية ما نص عليه المرسوم بقانون رقم 66 لسنة 2014 بإجازته للجنة إجراء بيع المشروع أو وضع قيود عليه عن طريق إخطار جهاز المساحة والتسجيل العقاري أو دمجه في مشروع آخر وهو أمر غير لازم للفصل في الطعن بالنسبة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ى ا</w:t>
      </w:r>
      <w:r w:rsidRPr="000758A9">
        <w:rPr>
          <w:rFonts w:asciiTheme="majorBidi" w:hAnsiTheme="majorBidi" w:cstheme="majorBidi"/>
          <w:sz w:val="32"/>
          <w:szCs w:val="32"/>
          <w:rtl/>
          <w:lang w:bidi="ar-BH"/>
        </w:rPr>
        <w:t>لقرار المطعون فيه يكون غير منتج ومن ثم غير مقبول.</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إن ما تنعاه الطاعنة بالسبب الثاني على القرار المطعون فيه التعسف في رفض الاقتراحات المقدمة منها لاستكمال المشروع الذي تم الانتهاء منه بنسبة 90% منه فيم</w:t>
      </w:r>
      <w:r w:rsidRPr="000758A9">
        <w:rPr>
          <w:rFonts w:asciiTheme="majorBidi" w:hAnsiTheme="majorBidi" w:cstheme="majorBidi" w:hint="cs"/>
          <w:sz w:val="32"/>
          <w:szCs w:val="32"/>
          <w:rtl/>
          <w:lang w:bidi="ar-BH"/>
        </w:rPr>
        <w:t xml:space="preserve">ا </w:t>
      </w:r>
      <w:r w:rsidRPr="000758A9">
        <w:rPr>
          <w:rFonts w:asciiTheme="majorBidi" w:hAnsiTheme="majorBidi" w:cstheme="majorBidi"/>
          <w:sz w:val="32"/>
          <w:szCs w:val="32"/>
          <w:rtl/>
          <w:lang w:bidi="ar-BH"/>
        </w:rPr>
        <w:t>يخص الوحدات التي تصل كلفة المتبقي من الأعمال مبلغ 1166000 دينار يمكن تحصيلها من المشترين بسداد باقي الثمن مقابل نقل الملكية إليهم وموافقة البنك على رفع الرهن و</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مهالها فرصة اقناع المشترين بذلك وعدم قيام اللجنة بمراجعة البلدية وهيئة الكهرباء والماء للوقوف على سبب عدم منح المشروع الموافقة على توفير الكهرباء والماء والصرف الصحي كما تقدمت باقتراح توفير قرض بقيمة نصف مليون دينار لاستئناف المشروع إلا أن اللجنة لم تقبل به وأصدرت قرارها بالبحث عن مطور جديد وهو ما يعيبه ويستوجب الغا</w:t>
      </w:r>
      <w:r w:rsidRPr="000758A9">
        <w:rPr>
          <w:rFonts w:asciiTheme="majorBidi" w:hAnsiTheme="majorBidi" w:cstheme="majorBidi" w:hint="cs"/>
          <w:sz w:val="32"/>
          <w:szCs w:val="32"/>
          <w:rtl/>
          <w:lang w:bidi="ar-BH"/>
        </w:rPr>
        <w:t>ؤ</w:t>
      </w:r>
      <w:r w:rsidRPr="000758A9">
        <w:rPr>
          <w:rFonts w:asciiTheme="majorBidi" w:hAnsiTheme="majorBidi" w:cstheme="majorBidi"/>
          <w:sz w:val="32"/>
          <w:szCs w:val="32"/>
          <w:rtl/>
          <w:lang w:bidi="ar-BH"/>
        </w:rPr>
        <w:t>ه.</w:t>
      </w:r>
    </w:p>
    <w:p w:rsidR="00955E20" w:rsidRPr="000758A9" w:rsidRDefault="00955E20" w:rsidP="00955E20">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هذا النعي مردود</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 المشرع بنص المادة السابعة من المرسوم بقانون رقم 66 لسنة 2014 قد أباح للجنة التسوية أن تمنح المطور مدة زمنية لا تتجاوز شهرا واحدا لتقديم مقترح لتسوية مشروعه ولها قبول المقترح أو طلب تعديله في ضوء ملاحظاتها أو رفضه لصعوبة تطبيقه أو لأي سبب آخر، وكان البين من القرار المطعون فيه أنه بجلسة 9/11/2015 تم منح الطاعنة أجلا لتقديم مقترح لتسوية المشروع ثم أجلا آخر لتقديم خرائط التقسيم إلا أنها لم تحضر بالجلسة المحددة ولم تقدم الخر</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طة مما ارتأت معه اللجنة عدم وضوح العرض وعدم جديته فقررت ال</w:t>
      </w:r>
      <w:r w:rsidRPr="000758A9">
        <w:rPr>
          <w:rFonts w:asciiTheme="majorBidi" w:hAnsiTheme="majorBidi" w:cstheme="majorBidi" w:hint="cs"/>
          <w:sz w:val="32"/>
          <w:szCs w:val="32"/>
          <w:rtl/>
          <w:lang w:bidi="ar-BH"/>
        </w:rPr>
        <w:t>يدء</w:t>
      </w:r>
      <w:r w:rsidRPr="000758A9">
        <w:rPr>
          <w:rFonts w:asciiTheme="majorBidi" w:hAnsiTheme="majorBidi" w:cstheme="majorBidi"/>
          <w:sz w:val="32"/>
          <w:szCs w:val="32"/>
          <w:rtl/>
          <w:lang w:bidi="ar-BH"/>
        </w:rPr>
        <w:t xml:space="preserve"> </w:t>
      </w:r>
      <w:r w:rsidRPr="000758A9">
        <w:rPr>
          <w:rFonts w:asciiTheme="majorBidi" w:hAnsiTheme="majorBidi" w:cstheme="majorBidi" w:hint="cs"/>
          <w:sz w:val="32"/>
          <w:szCs w:val="32"/>
          <w:rtl/>
          <w:lang w:bidi="ar-BH"/>
        </w:rPr>
        <w:t>ب</w:t>
      </w:r>
      <w:r w:rsidRPr="000758A9">
        <w:rPr>
          <w:rFonts w:asciiTheme="majorBidi" w:hAnsiTheme="majorBidi" w:cstheme="majorBidi"/>
          <w:sz w:val="32"/>
          <w:szCs w:val="32"/>
          <w:rtl/>
          <w:lang w:bidi="ar-BH"/>
        </w:rPr>
        <w:t>إجراءات البحث عن مطور جديد ورفض مقترح الطاعنة وكان هذا الذي خلصت إليه اللجنة سائغا وله أصل ثابت بالأوراق ويدخل في نطاق سلطتها التقديرية ومن ثم يكون النعي عليه على غير أساس.</w:t>
      </w:r>
    </w:p>
    <w:p w:rsidR="00955E20" w:rsidRPr="000758A9" w:rsidRDefault="00955E20" w:rsidP="00955E20">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ولما تقدم يتعين رفض الطعن.</w:t>
      </w:r>
    </w:p>
    <w:p w:rsidR="00A232C2" w:rsidRDefault="00A232C2">
      <w:pPr>
        <w:rPr>
          <w:lang w:bidi="ar-BH"/>
        </w:rPr>
      </w:pPr>
      <w:bookmarkStart w:id="0" w:name="_GoBack"/>
      <w:bookmarkEnd w:id="0"/>
    </w:p>
    <w:sectPr w:rsidR="00A232C2"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DD3"/>
    <w:rsid w:val="0003272B"/>
    <w:rsid w:val="00955E20"/>
    <w:rsid w:val="00A232C2"/>
    <w:rsid w:val="00AE6D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20"/>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E20"/>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1605</Words>
  <Characters>9155</Characters>
  <Application>Microsoft Office Word</Application>
  <DocSecurity>0</DocSecurity>
  <Lines>76</Lines>
  <Paragraphs>21</Paragraphs>
  <ScaleCrop>false</ScaleCrop>
  <Company/>
  <LinksUpToDate>false</LinksUpToDate>
  <CharactersWithSpaces>10739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2020-04-21T11:46:00Z</dcterms:created>
  <dcterms:modified xsi:type="dcterms:W3CDTF">2020-04-21T11:46:00Z</dcterms:modified>
</cp:coreProperties>
</file>