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68A" w:rsidRPr="00827DA0" w:rsidRDefault="009A768A" w:rsidP="009A768A">
      <w:pPr>
        <w:bidi/>
        <w:spacing w:after="0" w:line="360" w:lineRule="auto"/>
        <w:jc w:val="center"/>
        <w:rPr>
          <w:rFonts w:asciiTheme="majorBidi" w:hAnsiTheme="majorBidi" w:cstheme="majorBidi"/>
          <w:b/>
          <w:bCs/>
          <w:sz w:val="32"/>
          <w:szCs w:val="32"/>
          <w:lang w:bidi="ar-BH"/>
        </w:rPr>
      </w:pPr>
      <w:r w:rsidRPr="00827DA0">
        <w:rPr>
          <w:rFonts w:asciiTheme="majorBidi" w:hAnsiTheme="majorBidi" w:cstheme="majorBidi"/>
          <w:b/>
          <w:bCs/>
          <w:sz w:val="32"/>
          <w:szCs w:val="32"/>
          <w:rtl/>
          <w:lang w:bidi="ar-BH"/>
        </w:rPr>
        <w:t>جلسة 6 من ابريل سنة 2015</w:t>
      </w:r>
    </w:p>
    <w:p w:rsidR="009A768A" w:rsidRPr="00827DA0" w:rsidRDefault="009A768A" w:rsidP="009A768A">
      <w:pPr>
        <w:tabs>
          <w:tab w:val="right" w:pos="600"/>
          <w:tab w:val="left" w:pos="7335"/>
          <w:tab w:val="left" w:pos="7477"/>
          <w:tab w:val="left" w:pos="7619"/>
        </w:tabs>
        <w:bidi/>
        <w:spacing w:after="0" w:line="360" w:lineRule="auto"/>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 xml:space="preserve">برئاسة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مسعد رمضان الساعي وكيل المحكمة</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وعضوية المستشارين </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محمد مصطفى العكاز</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محمود محمود عبدالسلام</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وهشام محمد عبدالهاد</w:t>
      </w:r>
      <w:r w:rsidRPr="00827DA0">
        <w:rPr>
          <w:rFonts w:asciiTheme="majorBidi" w:hAnsiTheme="majorBidi" w:cstheme="majorBidi" w:hint="cs"/>
          <w:sz w:val="32"/>
          <w:szCs w:val="32"/>
          <w:rtl/>
          <w:lang w:bidi="ar-BH"/>
        </w:rPr>
        <w:t>ي.</w:t>
      </w:r>
    </w:p>
    <w:p w:rsidR="009A768A" w:rsidRPr="00827DA0" w:rsidRDefault="009A768A" w:rsidP="009A768A">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A768A" w:rsidRPr="00827DA0" w:rsidRDefault="009A768A" w:rsidP="009A768A">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(27)</w:t>
      </w:r>
    </w:p>
    <w:p w:rsidR="009A768A" w:rsidRPr="00827DA0" w:rsidRDefault="009A768A" w:rsidP="009A768A">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 xml:space="preserve">الطعن رقم 112 لسنة 2015 </w:t>
      </w:r>
    </w:p>
    <w:p w:rsidR="009A768A" w:rsidRPr="00827DA0" w:rsidRDefault="009A768A" w:rsidP="009A768A">
      <w:pPr>
        <w:bidi/>
        <w:spacing w:after="0" w:line="360" w:lineRule="auto"/>
        <w:jc w:val="both"/>
        <w:rPr>
          <w:rFonts w:asciiTheme="majorBidi" w:hAnsiTheme="majorBidi" w:cstheme="majorBidi"/>
          <w:b/>
          <w:bCs/>
          <w:sz w:val="32"/>
          <w:szCs w:val="32"/>
          <w:u w:val="single"/>
          <w:rtl/>
          <w:lang w:bidi="ar-BH"/>
        </w:rPr>
      </w:pPr>
      <w:r w:rsidRPr="00827DA0">
        <w:rPr>
          <w:rFonts w:asciiTheme="majorBidi" w:hAnsiTheme="majorBidi" w:cstheme="majorBidi"/>
          <w:b/>
          <w:bCs/>
          <w:sz w:val="32"/>
          <w:szCs w:val="32"/>
          <w:u w:val="single"/>
          <w:rtl/>
          <w:lang w:bidi="ar-BH"/>
        </w:rPr>
        <w:t xml:space="preserve"> (1-7) اثبات . جريمة . حكم . دعارة . دفاع . شهود . محكمة الموضوع.</w:t>
      </w:r>
    </w:p>
    <w:p w:rsidR="009A768A" w:rsidRPr="00827DA0" w:rsidRDefault="009A768A" w:rsidP="009A768A">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(1) جريمة إنشاء وإدارة محل للخمور أو الدعارة . من جرائم العادة. قيامها يستلزم نشاطا إيجابيا إما فتح المحل وإعداده للغرض الذ</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خصص من أجله و</w:t>
      </w:r>
      <w:r w:rsidRPr="00827DA0">
        <w:rPr>
          <w:rFonts w:asciiTheme="majorBidi" w:hAnsiTheme="majorBidi" w:cstheme="majorBidi" w:hint="cs"/>
          <w:sz w:val="32"/>
          <w:szCs w:val="32"/>
          <w:rtl/>
          <w:lang w:bidi="ar-BH"/>
        </w:rPr>
        <w:t>إما</w:t>
      </w:r>
      <w:r w:rsidRPr="00827DA0">
        <w:rPr>
          <w:rFonts w:asciiTheme="majorBidi" w:hAnsiTheme="majorBidi" w:cstheme="majorBidi"/>
          <w:sz w:val="32"/>
          <w:szCs w:val="32"/>
          <w:rtl/>
          <w:lang w:bidi="ar-BH"/>
        </w:rPr>
        <w:t xml:space="preserve"> تشغيله وتنظيم العمل فيه . توافر ركن الاعتياد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إدارة محل الدعارة من سلطة محكمة الموضوع . لازمه إقامة قضا</w:t>
      </w:r>
      <w:r w:rsidRPr="00827DA0">
        <w:rPr>
          <w:rFonts w:asciiTheme="majorBidi" w:hAnsiTheme="majorBidi" w:cstheme="majorBidi" w:hint="cs"/>
          <w:sz w:val="32"/>
          <w:szCs w:val="32"/>
          <w:rtl/>
          <w:lang w:bidi="ar-BH"/>
        </w:rPr>
        <w:t>ئ</w:t>
      </w:r>
      <w:r w:rsidRPr="00827DA0">
        <w:rPr>
          <w:rFonts w:asciiTheme="majorBidi" w:hAnsiTheme="majorBidi" w:cstheme="majorBidi"/>
          <w:sz w:val="32"/>
          <w:szCs w:val="32"/>
          <w:rtl/>
          <w:lang w:bidi="ar-BH"/>
        </w:rPr>
        <w:t xml:space="preserve">ها على أسباب سائغة . جواز إثباتها </w:t>
      </w:r>
      <w:r w:rsidRPr="00827DA0">
        <w:rPr>
          <w:rFonts w:asciiTheme="majorBidi" w:hAnsiTheme="majorBidi" w:cstheme="majorBidi" w:hint="cs"/>
          <w:sz w:val="32"/>
          <w:szCs w:val="32"/>
          <w:rtl/>
          <w:lang w:bidi="ar-BH"/>
        </w:rPr>
        <w:t>ب</w:t>
      </w:r>
      <w:r w:rsidRPr="00827DA0">
        <w:rPr>
          <w:rFonts w:asciiTheme="majorBidi" w:hAnsiTheme="majorBidi" w:cstheme="majorBidi"/>
          <w:sz w:val="32"/>
          <w:szCs w:val="32"/>
          <w:rtl/>
          <w:lang w:bidi="ar-BH"/>
        </w:rPr>
        <w:t>طرق الاثبات</w:t>
      </w:r>
      <w:r w:rsidRPr="00827DA0">
        <w:rPr>
          <w:rFonts w:asciiTheme="majorBidi" w:hAnsiTheme="majorBidi" w:cstheme="majorBidi" w:hint="cs"/>
          <w:sz w:val="32"/>
          <w:szCs w:val="32"/>
          <w:rtl/>
          <w:lang w:bidi="ar-BH"/>
        </w:rPr>
        <w:t xml:space="preserve"> كافة</w:t>
      </w:r>
      <w:r w:rsidRPr="00827DA0">
        <w:rPr>
          <w:rFonts w:asciiTheme="majorBidi" w:hAnsiTheme="majorBidi" w:cstheme="majorBidi"/>
          <w:sz w:val="32"/>
          <w:szCs w:val="32"/>
          <w:rtl/>
          <w:lang w:bidi="ar-BH"/>
        </w:rPr>
        <w:t xml:space="preserve"> . م 328/1 عقوبات.</w:t>
      </w:r>
    </w:p>
    <w:p w:rsidR="009A768A" w:rsidRPr="00827DA0" w:rsidRDefault="009A768A" w:rsidP="009A768A">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(2) ارتكاب الفجور والدعارة أو المساعدة على ذلك بأ</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طريقة . عقاب كل من حرض عليه ذكرا أو أنثى بشتى صور التحريض على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رتكاب البغاء وتسهيله . م 324/ 1 عقوبات.</w:t>
      </w:r>
    </w:p>
    <w:p w:rsidR="009A768A" w:rsidRPr="00827DA0" w:rsidRDefault="009A768A" w:rsidP="009A768A">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(3) نف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التهمة من أوجه الدفاع الموضوعية . لا تستأهل ردا طالما الرد مستفاد من أدلة الثبوت الت</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أوردها الحكم.</w:t>
      </w:r>
    </w:p>
    <w:p w:rsidR="009A768A" w:rsidRPr="00827DA0" w:rsidRDefault="009A768A" w:rsidP="009A768A">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(4) إيراد الحكم الأدلة المنتجة الت</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صحت لديه على وقوع الجريمة المسندة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ل</w:t>
      </w:r>
      <w:r w:rsidRPr="00827DA0">
        <w:rPr>
          <w:rFonts w:asciiTheme="majorBidi" w:hAnsiTheme="majorBidi" w:cstheme="majorBidi" w:hint="cs"/>
          <w:sz w:val="32"/>
          <w:szCs w:val="32"/>
          <w:rtl/>
          <w:lang w:bidi="ar-BH"/>
        </w:rPr>
        <w:t xml:space="preserve">ى </w:t>
      </w:r>
      <w:r w:rsidRPr="00827DA0">
        <w:rPr>
          <w:rFonts w:asciiTheme="majorBidi" w:hAnsiTheme="majorBidi" w:cstheme="majorBidi"/>
          <w:sz w:val="32"/>
          <w:szCs w:val="32"/>
          <w:rtl/>
          <w:lang w:bidi="ar-BH"/>
        </w:rPr>
        <w:t>لمتهم . تعقبه فى كل جزئية من جزئيات دفاعه . غير لازم. ما يثيره الطاعن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هذا الخصوص . جدل موضوع</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 عدم جواز إثارته لدى محكمة التمييز.</w:t>
      </w:r>
    </w:p>
    <w:p w:rsidR="009A768A" w:rsidRPr="00827DA0" w:rsidRDefault="009A768A" w:rsidP="009A768A">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(5) الأدلة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المواد الجنائية إقناعية . للمحكمة الالتفات عن دليل النف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ولو حملته أوراق رسمية . لازمه . أن يكون غير ملتئم مع الحقيقة الت</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تثبت لديها من باق</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الأدلة المقدمة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الدعوى . ما يثيره الطاعن على غير محل.</w:t>
      </w:r>
    </w:p>
    <w:p w:rsidR="009A768A" w:rsidRPr="00827DA0" w:rsidRDefault="009A768A" w:rsidP="009A768A">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(6) أقوال متهم على آخر</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شهادة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حقيقتها . تقديرها من سلطة محكمة الموضوع.</w:t>
      </w:r>
    </w:p>
    <w:p w:rsidR="009A768A" w:rsidRPr="00827DA0" w:rsidRDefault="009A768A" w:rsidP="009A768A">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lastRenderedPageBreak/>
        <w:t xml:space="preserve"> (7) وزن أقوال الشهود وتقدير ظروف ال</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دلاء بشهادتهم وتعويل القضاء عليها مهما وجه إليها وحام حولها من الشبهات من سلطة محكمة الموضوع . أخذها بشهادتهم . مفاده إطراحها جميع الاعتبارات الت</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ساقها الدفاع لحملها على عدم الأخذ بها.</w:t>
      </w:r>
    </w:p>
    <w:p w:rsidR="009A768A" w:rsidRPr="00827DA0" w:rsidRDefault="009A768A" w:rsidP="009A768A">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A768A" w:rsidRPr="00827DA0" w:rsidRDefault="009A768A" w:rsidP="009A768A">
      <w:pPr>
        <w:pStyle w:val="BodyText3"/>
        <w:spacing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1- لما كان مقتضى نص المادة 328/1 من قانون العقوبات أن جريمة إنشاء وإدارة محل للخمور أو الدعارة تستلزم لقيامها نشاطا إيجابيا تكون صورته إما فتح المحل بمعنى تهيئته وإعداده للغرض الذي خصص من أجله وإما تشغيله وتنظيم العمل فيه تحقيقا لهذا الغرض وهي من جرائم العادة التي لا تقوم إلا بتحقق ثبوتها وأن القول بتوافر ركن الاعتياد في إدارة محل الدعارة من الأمور التي تخضع للسلطة التقديرية لمحكمة الموضوع متى أقامت قضاءها في ذلك على أسباب سائغة، ولم يستلزم القانون لثبوت ركن الاعتياد في هذه الجريمة طريقة معينة من طرق الاثبات.</w:t>
      </w:r>
    </w:p>
    <w:p w:rsidR="009A768A" w:rsidRPr="00827DA0" w:rsidRDefault="009A768A" w:rsidP="009A768A">
      <w:pPr>
        <w:pStyle w:val="BodyText3"/>
        <w:spacing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2- المقرر أن المادة 324/1 من قانون العقوبات إذ نصت على عقاب كل من حرض ذكرا أو أنثى على ارتكاب الفجور أو الدعارة أو ساعده على ذلك بأي طريقة فقد دل بما نص عليه من صيغة عامة على إطلاق حكمها بحيث يتناول شتى صور التحريض على ارتكاب البغاء وتسهيله بالنسبة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ل</w:t>
      </w:r>
      <w:r w:rsidRPr="00827DA0">
        <w:rPr>
          <w:rFonts w:asciiTheme="majorBidi" w:hAnsiTheme="majorBidi" w:cstheme="majorBidi" w:hint="cs"/>
          <w:sz w:val="32"/>
          <w:szCs w:val="32"/>
          <w:rtl/>
          <w:lang w:bidi="ar-BH"/>
        </w:rPr>
        <w:t>ى ا</w:t>
      </w:r>
      <w:r w:rsidRPr="00827DA0">
        <w:rPr>
          <w:rFonts w:asciiTheme="majorBidi" w:hAnsiTheme="majorBidi" w:cstheme="majorBidi"/>
          <w:sz w:val="32"/>
          <w:szCs w:val="32"/>
          <w:rtl/>
          <w:lang w:bidi="ar-BH"/>
        </w:rPr>
        <w:t xml:space="preserve">لذكر والأنثى على السواء وذلك يدخل فيه مجرد القول ولو كان عرضا مادام هذا العرض جديا في ظاهره وفيه بذاته ما يكفي للتأثير </w:t>
      </w:r>
      <w:r w:rsidRPr="00827DA0">
        <w:rPr>
          <w:rFonts w:asciiTheme="majorBidi" w:hAnsiTheme="majorBidi" w:cstheme="majorBidi" w:hint="cs"/>
          <w:sz w:val="32"/>
          <w:szCs w:val="32"/>
          <w:rtl/>
          <w:lang w:bidi="ar-BH"/>
        </w:rPr>
        <w:t>في</w:t>
      </w:r>
      <w:r w:rsidRPr="00827DA0">
        <w:rPr>
          <w:rFonts w:asciiTheme="majorBidi" w:hAnsiTheme="majorBidi" w:cstheme="majorBidi"/>
          <w:sz w:val="32"/>
          <w:szCs w:val="32"/>
          <w:rtl/>
          <w:lang w:bidi="ar-BH"/>
        </w:rPr>
        <w:t xml:space="preserve"> المخاطب وإغرائه بقصد ارتكاب الفجور والدعارة.</w:t>
      </w:r>
    </w:p>
    <w:p w:rsidR="009A768A" w:rsidRPr="00827DA0" w:rsidRDefault="009A768A" w:rsidP="009A768A">
      <w:pPr>
        <w:pStyle w:val="BodyText3"/>
        <w:spacing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3- المقرر أن الدفع بعدم ارتكاب الجريمة مردود بأن نفي التهمة من أوجه الدفاع الموضوعية التي لا تستأهل في الأصل ردا طالما كان الرد عليها مستفادا من أدلة الثبوت التي أوردها الحكم.</w:t>
      </w:r>
    </w:p>
    <w:p w:rsidR="009A768A" w:rsidRPr="00827DA0" w:rsidRDefault="009A768A" w:rsidP="009A768A">
      <w:pPr>
        <w:pStyle w:val="BodyText3"/>
        <w:spacing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4- المقرر أنه بحسب الحكم كيما يتم تدليله ويستقيم قضاؤه أن يورد الأدلة المنتجة التي صحت لديه على ما استخلصه من وقوع الجريمة المسندة إلى المتهم ولا عليه أن يتعقبه في كل جزئية من جزئيات دفاعه لأن مفاد التفاته عنها أنه أطرحها ومن ثم فإن كل ما يثيره الطاعن في هذا الخصوص لا يعدو أن يكون جدلا موضوعيا في تقدير الدليل وفي سلطة محكمة الموضوع في وزن عناصر الدعوى واستنباط معتقدها وهو ما لا يجوز إثارته لدى محكمة التمييز.</w:t>
      </w:r>
    </w:p>
    <w:p w:rsidR="009A768A" w:rsidRPr="00827DA0" w:rsidRDefault="009A768A" w:rsidP="009A768A">
      <w:pPr>
        <w:pStyle w:val="BodyText3"/>
        <w:spacing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5- المقرر أن الأدلة في المواد الجنائية إقناعية وللمحكمة أن تلتفت عن دليل النفي ولو حملته أوراق رسمية مادام يصح في العقل أن يكون غير ملتئم مع الحقيقة التي تثبت لديها من باقي الأدلة المقدمة في الدعوى ومن ثم فإن كل ما يثيره الطاعن في هذا الصدد لا يكون له محل.</w:t>
      </w:r>
    </w:p>
    <w:p w:rsidR="009A768A" w:rsidRPr="00827DA0" w:rsidRDefault="009A768A" w:rsidP="009A768A">
      <w:pPr>
        <w:pStyle w:val="BodyText3"/>
        <w:spacing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6- المقرر أن أقوال متهم على آخر هو في حقيقته شهادة يرجع تقديرها إلى محكمة الموضوع.</w:t>
      </w:r>
    </w:p>
    <w:p w:rsidR="009A768A" w:rsidRPr="00827DA0" w:rsidRDefault="009A768A" w:rsidP="009A768A">
      <w:pPr>
        <w:pStyle w:val="BodyText3"/>
        <w:spacing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7- المقرر أن وزن أقوال الشهود وتقدير الظروف التي يؤدون فيها شهادتهم وتعويل القضاء على أقوالهم مهما وجه إليها من مطاعن وحام حولها من الشبهات كل ذلك مرجعه إلى محكمة الموضوع تقدره التقدير الذي تطمئن إليه، وهي متى أخذت بشهادتهم فإن ذلك يفيد أنها أطرحت جميع الاعتبارات التي ساقها الدفاع لحملها على عدم الأخذ بها.</w:t>
      </w:r>
    </w:p>
    <w:p w:rsidR="009A768A" w:rsidRPr="00827DA0" w:rsidRDefault="009A768A" w:rsidP="009A768A">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A768A" w:rsidRPr="00827DA0" w:rsidRDefault="009A768A" w:rsidP="009A768A">
      <w:pPr>
        <w:pStyle w:val="BodyText3"/>
        <w:spacing w:line="360" w:lineRule="auto"/>
        <w:jc w:val="center"/>
        <w:rPr>
          <w:rFonts w:asciiTheme="majorBidi" w:hAnsiTheme="majorBidi" w:cstheme="majorBidi"/>
          <w:b/>
          <w:bCs/>
          <w:sz w:val="32"/>
          <w:szCs w:val="32"/>
          <w:rtl/>
        </w:rPr>
      </w:pPr>
      <w:r w:rsidRPr="00827DA0">
        <w:rPr>
          <w:rFonts w:asciiTheme="majorBidi" w:hAnsiTheme="majorBidi" w:cstheme="majorBidi"/>
          <w:b/>
          <w:bCs/>
          <w:sz w:val="32"/>
          <w:szCs w:val="32"/>
          <w:rtl/>
        </w:rPr>
        <w:t>الوقائع</w:t>
      </w:r>
    </w:p>
    <w:p w:rsidR="009A768A" w:rsidRPr="00827DA0" w:rsidRDefault="009A768A" w:rsidP="009A768A">
      <w:pPr>
        <w:pStyle w:val="BodyText3"/>
        <w:spacing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اتهمت النيابة العامة الطاعن وآخرين في قضية الجنحة رقم</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xml:space="preserve">6258 لسنة 2014 بأنهم في 17/6/2014 بدائرة أمن محافظة العاصمة: المتهمون من الأول حتى السابع:- أولا: 1- حرضوا وساعدوا المتهمات من الثامنة حتى الثالثة والعشرين على ممارسة الفجور والدعارة على النحو المبين بالأوراق. 2- اعتمدوا في حياتهم بصفة كلية على ما تكسبه المتهمات </w:t>
      </w:r>
      <w:r w:rsidRPr="00827DA0">
        <w:rPr>
          <w:rFonts w:asciiTheme="majorBidi" w:hAnsiTheme="majorBidi" w:cstheme="majorBidi" w:hint="cs"/>
          <w:sz w:val="32"/>
          <w:szCs w:val="32"/>
          <w:rtl/>
          <w:lang w:bidi="ar-BH"/>
        </w:rPr>
        <w:t>ال</w:t>
      </w:r>
      <w:r w:rsidRPr="00827DA0">
        <w:rPr>
          <w:rFonts w:asciiTheme="majorBidi" w:hAnsiTheme="majorBidi" w:cstheme="majorBidi"/>
          <w:sz w:val="32"/>
          <w:szCs w:val="32"/>
          <w:rtl/>
          <w:lang w:bidi="ar-BH"/>
        </w:rPr>
        <w:t xml:space="preserve">سالفات الذكر من ممارسة الفجور والدعارة على النحو المبين بالأوراق. 3- أداروا محلا للفجور والدعارة على النحو المبين بالأوراق. ثانيا: المتهمات من الثامنة حتى الثالثة والعشرين:- اعتمدن في حياتهن بصفة كلية على ما يكسبنه من ممارسة الدعارة على النحو المبين بالأوراق. ثالثا: المتهمات من العاشرة حتى الثالثة والعشرين أقمن في البلاد بطريقة غير مشروعة بأن لم يجددن رخص الإقامة الصادرة لهن </w:t>
      </w:r>
      <w:r w:rsidRPr="00827DA0">
        <w:rPr>
          <w:rFonts w:asciiTheme="majorBidi" w:hAnsiTheme="majorBidi" w:cstheme="majorBidi" w:hint="cs"/>
          <w:sz w:val="32"/>
          <w:szCs w:val="32"/>
          <w:rtl/>
          <w:lang w:bidi="ar-BH"/>
        </w:rPr>
        <w:t>ع</w:t>
      </w:r>
      <w:r w:rsidRPr="00827DA0">
        <w:rPr>
          <w:rFonts w:asciiTheme="majorBidi" w:hAnsiTheme="majorBidi" w:cstheme="majorBidi"/>
          <w:sz w:val="32"/>
          <w:szCs w:val="32"/>
          <w:rtl/>
          <w:lang w:bidi="ar-BH"/>
        </w:rPr>
        <w:t>ن مدير إدارة الجنسية والجوازات والإقامة التي تؤهلن للإقامة في مملكة البحرين. وطلبت عقابهم بالمواد 64 مكررا،111، 324/1، 326، 328 من قانون العقوبات والمواد 7/1، 2، 5، 15، 17، 20، 28/1، 29/2 من قانون الأجانب لعام 1965 المعدل بالمرسوم بقانون 21 لسنة 1980 بعد إعمال المادة 66 من قانون العقوبات.</w:t>
      </w:r>
    </w:p>
    <w:p w:rsidR="009A768A" w:rsidRPr="00827DA0" w:rsidRDefault="009A768A" w:rsidP="009A768A">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والمحكمة الصغرى الجنائية قضت بجلسة 28/10/2014 غيابيا للمتهمين الثاني والثالث والرابع وحضوريا لباقي المتهمين:</w:t>
      </w:r>
    </w:p>
    <w:p w:rsidR="009A768A" w:rsidRPr="00827DA0" w:rsidRDefault="009A768A" w:rsidP="009A768A">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أولا: ببراءة المتهم الرابع مما نسب اليه وحبس كل من المتهم</w:t>
      </w:r>
      <w:r w:rsidRPr="00827DA0">
        <w:rPr>
          <w:rFonts w:asciiTheme="majorBidi" w:hAnsiTheme="majorBidi" w:cstheme="majorBidi" w:hint="cs"/>
          <w:sz w:val="32"/>
          <w:szCs w:val="32"/>
          <w:rtl/>
          <w:lang w:bidi="ar-BH"/>
        </w:rPr>
        <w:t>ين</w:t>
      </w:r>
      <w:r w:rsidRPr="00827DA0">
        <w:rPr>
          <w:rFonts w:asciiTheme="majorBidi" w:hAnsiTheme="majorBidi" w:cstheme="majorBidi"/>
          <w:sz w:val="32"/>
          <w:szCs w:val="32"/>
          <w:rtl/>
          <w:lang w:bidi="ar-BH"/>
        </w:rPr>
        <w:t xml:space="preserve"> الأول والثاني والثالث والخامس والسادس والسابع خمس سنوات وقدرت كفالة ألفي دينار لكل منهم لإيقاف التنفيذ وغلق فندق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ومصادرة ما تم ضبطه به من الأمتعة والأثاث عن التهمة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أولا</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للارتباط. ثانيا: ببراءة كل من المتهمات الثانية عشرة والخامسة عشرة والسادسة عشرة والسابعة عشرة والثامنة عشرة والتاسعة عشرة والعشرين والحادية والعشرين والثالثة والعشرين مما نسب إليهن من اتهام وحبس كل من المتهمات الثامنة والتاسعة والعاشرة خمس سنوات مع النفاذ عن التهمة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ثانيا</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ثالثا - ببراءة كل من المتهمتين الخامسة عشرة والحادية والعشرين مما نسب إليهما وحبس كل من المتهمات العاشرة والحادية عشرة والثانية عشرة والثالثة عشرة والرابعة عشرة والسادسة عشرة والسابعة عشرة والثامنة عشرة والتاسعة عشرة والعشرين والثانية والعشرين والثالثة والعشرين عشرة أيام مع النفاذ والإبعاد عن مملكة البحرين نهائيا بعد تنفيذ العقوبة عن التهمة الثالثة. فاستأنف المحكوم عليهم بالاستئنافات أرقام 2413، 2439، 2438، 2437، 2511، 2464، 2436، 2416، 2396، 2363 لسنة 2014.</w:t>
      </w:r>
    </w:p>
    <w:p w:rsidR="009A768A" w:rsidRPr="00827DA0" w:rsidRDefault="009A768A" w:rsidP="009A768A">
      <w:pPr>
        <w:tabs>
          <w:tab w:val="left" w:pos="7902"/>
        </w:tabs>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والمحكمة الكبرى الجنائية – بصفة استئنافية – قضت بجلسة 15/1/2015 حضوريا للمستأنف السادس وحضوريا اعتباريا لباقي المستأنفين: أولا: بقبول الاستئنافات شكلا. ثانيا: في موضوع الاستئناف رقم 2511 لسنة 2014 برفضه وتأييد الحكم المستأنف. ثالثا: في موضوع الاستئنافات أرقام 2363، 2413، 2437 لسنة 2014 بحبس كل منهم ثلاث سنوات عما أسند إليهم وتأييد الحكم المستأنف فيما قضى به من غلق فندق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ومصادرة ما تم ضبطه من أمتعة وأثاث. رابعا: في موضوع الاستئنافات أرقام 2396، 2416، 2436، 2438، 2439، 2464 لسنة 2014 بتعديل الحكم المستأنف وبحبس كل منهم سنة وتأييد الحكم المستأنف فيما عدا ذلك، فلم يرتض المحكوم عليه الأول هذا الحكم فطعن فيه بطريق التمييز.</w:t>
      </w:r>
    </w:p>
    <w:p w:rsidR="009A768A" w:rsidRPr="00827DA0" w:rsidRDefault="009A768A" w:rsidP="009A768A">
      <w:pPr>
        <w:tabs>
          <w:tab w:val="left" w:pos="7902"/>
        </w:tabs>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بتاريخ 18/1/2015 قرر وكيل المحكوم عليه الأول الطعن في هذا الحكم بطريق التمييز وبذات التاريخ أودعت مذكرة بأسباب الطعن بالتمييز موقعة منه، كما أودع المكتب الفني للمحكمة مذكرة برأيه.</w:t>
      </w:r>
    </w:p>
    <w:p w:rsidR="009A768A" w:rsidRPr="00827DA0" w:rsidRDefault="009A768A" w:rsidP="009A768A">
      <w:pPr>
        <w:tabs>
          <w:tab w:val="left" w:pos="7902"/>
        </w:tabs>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A768A" w:rsidRPr="00827DA0" w:rsidRDefault="009A768A" w:rsidP="009A768A">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المحكمة</w:t>
      </w:r>
      <w:r w:rsidRPr="00827DA0">
        <w:rPr>
          <w:rFonts w:asciiTheme="majorBidi" w:hAnsiTheme="majorBidi" w:cstheme="majorBidi"/>
          <w:b/>
          <w:bCs/>
          <w:sz w:val="32"/>
          <w:szCs w:val="32"/>
          <w:rtl/>
          <w:lang w:bidi="ar-BH"/>
        </w:rPr>
        <w:br/>
      </w:r>
    </w:p>
    <w:p w:rsidR="009A768A" w:rsidRPr="00827DA0" w:rsidRDefault="009A768A" w:rsidP="009A768A">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بعد تلاوة تقرير القاضي المقرر والاطلاع على الأوراق وسماع أقوال النيابة العامة والحاضر عن الطاعن، وبعد المداولة.</w:t>
      </w:r>
    </w:p>
    <w:p w:rsidR="009A768A" w:rsidRPr="00827DA0" w:rsidRDefault="009A768A" w:rsidP="009A768A">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حيث إن الطعن استوفى أوضاعه الشكلية.</w:t>
      </w:r>
    </w:p>
    <w:p w:rsidR="009A768A" w:rsidRPr="00827DA0" w:rsidRDefault="009A768A" w:rsidP="009A768A">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إن الطاعن ينعى على الحكم المطعون فيه أنه إذ دانه بجرائم إدارة محل للدعارة والتحريض والمساعدة على ممارستها والاعتماد كليا على ما تكتسبه أخريات من الدعارة قد شابه القصور في التسبيب والفساد في الاستدلال، ذلك أنه دانه بتلك الجرائم رغم عدم توافر ركنيها المادي والمعنوي في حقه، وخلو الأوراق من دليل على ارتكابه للواقعة بدلالة عقد الإيجار المؤرخ 22/12/2013 بينه وبين المحكوم عليه الثالث، كما عولت المحكمة في إدانته على أقوال المحكوم عليه السادس رغم أنها لا تعد في حقيقتها شهادة، مما يعيب الحكم ويستوجب نقضه.</w:t>
      </w:r>
    </w:p>
    <w:p w:rsidR="009A768A" w:rsidRPr="00827DA0" w:rsidRDefault="009A768A" w:rsidP="009A768A">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وحيث إن الحكم الابتدائي المؤيد لأسبابه والمكمل بالحكم المطعون فيه بين واقعة الدعوى في قوله: "... تتحصل فيما ورد ببلاغ لشعبة حماية الآداب العامة بالإدارة العامة للمباحث والأدلة الجنائية والمحرر بمعرفة نائب عريف... من أنه قد وردت معلومات من المصادر السرية تتضمن قيام كل من (1) ----------.. بإدارة فندق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مبنى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طريق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مجمع</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xml:space="preserve"> الواقع </w:t>
      </w:r>
      <w:r w:rsidRPr="00827DA0">
        <w:rPr>
          <w:rFonts w:asciiTheme="majorBidi" w:hAnsiTheme="majorBidi" w:cstheme="majorBidi" w:hint="cs"/>
          <w:sz w:val="32"/>
          <w:szCs w:val="32"/>
          <w:rtl/>
          <w:lang w:bidi="ar-BH"/>
        </w:rPr>
        <w:t xml:space="preserve">في </w:t>
      </w:r>
      <w:r w:rsidRPr="00827DA0">
        <w:rPr>
          <w:rFonts w:asciiTheme="majorBidi" w:hAnsiTheme="majorBidi" w:cstheme="majorBidi"/>
          <w:sz w:val="32"/>
          <w:szCs w:val="32"/>
          <w:rtl/>
          <w:lang w:bidi="ar-BH"/>
        </w:rPr>
        <w:t xml:space="preserve">منطقة الجفير بالمنامة لأعمال الدعارة بالاشتراك مع كل من (2)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(3)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(4)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موظف خدمة الغرف والتسهيل لنساء بجنسيات </w:t>
      </w:r>
      <w:r w:rsidRPr="00827DA0">
        <w:rPr>
          <w:rFonts w:asciiTheme="majorBidi" w:hAnsiTheme="majorBidi" w:cstheme="majorBidi" w:hint="cs"/>
          <w:sz w:val="32"/>
          <w:szCs w:val="32"/>
          <w:rtl/>
          <w:lang w:bidi="ar-BH"/>
        </w:rPr>
        <w:t>ل</w:t>
      </w:r>
      <w:r w:rsidRPr="00827DA0">
        <w:rPr>
          <w:rFonts w:asciiTheme="majorBidi" w:hAnsiTheme="majorBidi" w:cstheme="majorBidi"/>
          <w:sz w:val="32"/>
          <w:szCs w:val="32"/>
          <w:rtl/>
          <w:lang w:bidi="ar-BH"/>
        </w:rPr>
        <w:t xml:space="preserve">مختلفة ممارسة تلك الأعمال </w:t>
      </w:r>
      <w:r w:rsidRPr="00827DA0">
        <w:rPr>
          <w:rFonts w:asciiTheme="majorBidi" w:hAnsiTheme="majorBidi" w:cstheme="majorBidi" w:hint="cs"/>
          <w:sz w:val="32"/>
          <w:szCs w:val="32"/>
          <w:rtl/>
          <w:lang w:bidi="ar-BH"/>
        </w:rPr>
        <w:t xml:space="preserve">في </w:t>
      </w:r>
      <w:r w:rsidRPr="00827DA0">
        <w:rPr>
          <w:rFonts w:asciiTheme="majorBidi" w:hAnsiTheme="majorBidi" w:cstheme="majorBidi"/>
          <w:sz w:val="32"/>
          <w:szCs w:val="32"/>
          <w:rtl/>
          <w:lang w:bidi="ar-BH"/>
        </w:rPr>
        <w:t xml:space="preserve">الفندق </w:t>
      </w:r>
      <w:r w:rsidRPr="00827DA0">
        <w:rPr>
          <w:rFonts w:asciiTheme="majorBidi" w:hAnsiTheme="majorBidi" w:cstheme="majorBidi" w:hint="cs"/>
          <w:sz w:val="32"/>
          <w:szCs w:val="32"/>
          <w:rtl/>
          <w:lang w:bidi="ar-BH"/>
        </w:rPr>
        <w:t>ال</w:t>
      </w:r>
      <w:r w:rsidRPr="00827DA0">
        <w:rPr>
          <w:rFonts w:asciiTheme="majorBidi" w:hAnsiTheme="majorBidi" w:cstheme="majorBidi"/>
          <w:sz w:val="32"/>
          <w:szCs w:val="32"/>
          <w:rtl/>
          <w:lang w:bidi="ar-BH"/>
        </w:rPr>
        <w:t xml:space="preserve">سالف الذكر مقابل مبالغ مالية تتراوح ما بين عشرة </w:t>
      </w:r>
      <w:r w:rsidRPr="00827DA0">
        <w:rPr>
          <w:rFonts w:asciiTheme="majorBidi" w:hAnsiTheme="majorBidi" w:cstheme="majorBidi" w:hint="cs"/>
          <w:sz w:val="32"/>
          <w:szCs w:val="32"/>
          <w:rtl/>
          <w:lang w:bidi="ar-BH"/>
        </w:rPr>
        <w:t>و</w:t>
      </w:r>
      <w:r w:rsidRPr="00827DA0">
        <w:rPr>
          <w:rFonts w:asciiTheme="majorBidi" w:hAnsiTheme="majorBidi" w:cstheme="majorBidi"/>
          <w:sz w:val="32"/>
          <w:szCs w:val="32"/>
          <w:rtl/>
          <w:lang w:bidi="ar-BH"/>
        </w:rPr>
        <w:t xml:space="preserve">سبعين دينارا عن كل ممارسة جنسية وأكدت التحريات أيضا أن موظف خدمة الغرف وآخرين يقومون على استقبال الزبائن من طالبي المتعة الجنسية من المترددين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لى الفندق حيث يعرضون عليهم بأن في المبنى نساء يمارسن الدعارة من جنسيات مختلفة ويقومون بتزويدهم بأرقام غرف الداعرات لتسهيل الاتصال بهن والاتفاق معهن على الممارسات الجنسية التي تتم بغرف النزلاء والداعرات والمبالغ المالية المدفوعة لقاء ذلك من أجل الحصول على منفعة عامة لجذب وإحضار المزيد من الزبائن إلى الفندق</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كما تم إعطاء النسوة الداعرات ميزات خاصة من خلال التنقل بين غرف الزبائن بحرية تامة لممارسة الرذيلة، كما يعمل موظف خدمة الغرف أيضا وآخرون على إرشاد الزبائن من طالبي المتعة الجنسية وأحيانا كتابة أرقام غرفهن على المحارم الورقية أو قصاصات ورقية لتسهيل الاتصال بالمتهمات مقابل حصولهم على مبالغ مالية زهيدة لإرشادهم إلى غرف الداعرات لتسهيل اللقاءات والممارسات الجنسية...."</w:t>
      </w:r>
    </w:p>
    <w:p w:rsidR="009A768A" w:rsidRPr="00827DA0" w:rsidRDefault="009A768A" w:rsidP="009A768A">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ثم أضاف الحكم المطعون فيه قوله: "... والمحكمة تضيف لواقعة الدعوى وتكملها مما حصلته من الأوراق من أن الفندق محل الضبط يدار بمعرفة المتهمين من الأول حتى السابع وأن الأول هو مستثمر الفندق وهو من يوجه المتهم</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ن من الثاني حتى السابع إلى أعمال الدعارة بالفندق لتغطية قيمة إيجاره والبالغ قدره خمسة وثمان</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ون ألف دينار شهريا ويقوم المتهمي</w:t>
      </w:r>
      <w:r w:rsidRPr="00827DA0">
        <w:rPr>
          <w:rFonts w:asciiTheme="majorBidi" w:hAnsiTheme="majorBidi" w:cstheme="majorBidi" w:hint="cs"/>
          <w:sz w:val="32"/>
          <w:szCs w:val="32"/>
          <w:rtl/>
          <w:lang w:bidi="ar-BH"/>
        </w:rPr>
        <w:t>و</w:t>
      </w:r>
      <w:r w:rsidRPr="00827DA0">
        <w:rPr>
          <w:rFonts w:asciiTheme="majorBidi" w:hAnsiTheme="majorBidi" w:cstheme="majorBidi"/>
          <w:sz w:val="32"/>
          <w:szCs w:val="32"/>
          <w:rtl/>
          <w:lang w:bidi="ar-BH"/>
        </w:rPr>
        <w:t xml:space="preserve">ن من الثاني حتى السابع بتنفيذ تعليماته ومساعدته </w:t>
      </w:r>
      <w:r w:rsidRPr="00827DA0">
        <w:rPr>
          <w:rFonts w:asciiTheme="majorBidi" w:hAnsiTheme="majorBidi" w:cstheme="majorBidi" w:hint="cs"/>
          <w:sz w:val="32"/>
          <w:szCs w:val="32"/>
          <w:rtl/>
          <w:lang w:bidi="ar-BH"/>
        </w:rPr>
        <w:t xml:space="preserve">على </w:t>
      </w:r>
      <w:r w:rsidRPr="00827DA0">
        <w:rPr>
          <w:rFonts w:asciiTheme="majorBidi" w:hAnsiTheme="majorBidi" w:cstheme="majorBidi"/>
          <w:sz w:val="32"/>
          <w:szCs w:val="32"/>
          <w:rtl/>
          <w:lang w:bidi="ar-BH"/>
        </w:rPr>
        <w:t>إدارة الفندق لأعمال الدعارة وتسهيل اعمال الدعارة لباقي المتهمات لممارسة الدعارة بالفندق حتى يحقق الربح من وراء ذلك وتحقيق الدخل للفندق</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w:t>
      </w:r>
    </w:p>
    <w:p w:rsidR="009A768A" w:rsidRPr="00827DA0" w:rsidRDefault="009A768A" w:rsidP="009A768A">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وأورد الحكم على ثبوت الواقعة على هذه الصورة في حق الطاعن وباقي المحكوم عليهم أدلة استمدها من إقرار المحكوم عليهما السادس والسابع بتحقيقات النيابة العامة ومحضر تحريات الضبط الخاص بالإدارة العامة للمباحث والأدلة الجنائية ــ شعبة حماية الآداب العامة واعتراف المحكوم عليهن الثامنة والعاشرة والحادية عشرة وما ثبت بمحضر الضبط من ضبط المحكوم عليهن العاشرة والثالثة عشرة والرابعة عشرة والثانية والعشرين بالفندق متلبسات حال ممارستهن الدعارة وهي أدلة سائغة من شأنها أن تؤدي إلى ما رتبه الحكم عليها. لما كان ذلك، وكان مقتضى نص المادة 328/1 من قانون العقوبات أن جريمة إنشاء وإدارة محل للخمور أو الدعارة تستلزم لقيامها نشاطا إيجابيا تكون صورته إما فتح المحل بمعنى تهيئته وإعداده للغرض الذي خصص من أجله وإما تشغيله وتنظيم العمل فيه تحقيقا لهذا الغرض وهي من جرائم العادة التي لا تقوم إلا بتحقق ثبوتها وأن القول بتوافر ركن الاعتياد في إدارة محل الدعارة من الأمور التي تخضع للسلطة التقديرية لمحكمة الموضوع متى أقامت قضاءها في ذلك على أسباب سائغة، ولم يستلزم القانون لثبوت ركن الاعتياد في هذه الجريمة طريقة معينة من طرق الاثبات، كما انه من المقرر أن المادة 324/1 من قانون العقوبات إذ نصت على عقاب كل من حرض ذكرا أو أنثى على ارتكاب الفجور أو الدعارة أو ساعده على ذلك بأي طريقة فقد دل بما نص عليه من صيغة عامة على إطلاق حكمها بحيث يتناول شتى صور التحريض على ارتكاب البغاء وتسهيله بالنسبة </w:t>
      </w:r>
      <w:r w:rsidRPr="00827DA0">
        <w:rPr>
          <w:rFonts w:asciiTheme="majorBidi" w:hAnsiTheme="majorBidi" w:cstheme="majorBidi" w:hint="cs"/>
          <w:sz w:val="32"/>
          <w:szCs w:val="32"/>
          <w:rtl/>
          <w:lang w:bidi="ar-BH"/>
        </w:rPr>
        <w:t>إلى ا</w:t>
      </w:r>
      <w:r w:rsidRPr="00827DA0">
        <w:rPr>
          <w:rFonts w:asciiTheme="majorBidi" w:hAnsiTheme="majorBidi" w:cstheme="majorBidi"/>
          <w:sz w:val="32"/>
          <w:szCs w:val="32"/>
          <w:rtl/>
          <w:lang w:bidi="ar-BH"/>
        </w:rPr>
        <w:t xml:space="preserve">لذكر والأنثى على السواء وذلك يدخل فيه مجرد القول ولو كان عرضا مادام هذا العرض جديا في ظاهره وفيه بذاته ما يكفي للتأثير المخاطب وإغرائه بقصد ارتكاب الفجور والدعارة، وكان يبين مما أثبته الحكم في مدوناته وأدلة الثبوت فيه ما يكفي في استظهار أركان الجرائم التي دان الطاعن بها والقصد الجنائي فضلا عن أنه لا مصلحة له فيما يثيره بشأن المساعدة والتحريض على الدعارة والاعتماد على ما تكسبه الأخريات من ممارسة الدعارة طالما أنه طبق عليه حكم المادة 66 من قانون العقوبات وأوقع عليه عقوبة تدخل في حدود العقوبة المقررة للجريمة الأشد وهي إدارة محل للدعارة ويكون النعي على الحكم في هذا الخصوص غير سديد. لما كان ذلك، وكان من المقرر أن الدفع بعدم ارتكاب الجريمة مردود بأن نفي التهمة من أوجه الدفاع الموضوعية التي لا تستأهل في الأصل ردا طالما كان الرد عليها مستفادا من أدلة الثبوت التي أوردها الحكم، هذا إلى أنه بحسب الحكم كيما يتم تدليله ويستقيم قضاؤه أن يورد الأدلة المنتجة التي صحت لديه على ما استخلصه من وقوع الجريمة المسندة إلى المتهم ولا عليه أن يتعقبه في كل جزئية من جزئيات دفاعه لأن مفاد التفاته عنها أنه أطرحها ومن ثم فإن كل ما يثيره الطاعن في هذا الخصوص لا يعدو أن يكون جدلا موضوعيا في تقدير الدليل وفي سلطة محكمة الموضوع في وزن عناصر الدعوى واستنباط معتقدها وهو ما لا يجوز إثارته لدى محكمة التمييز. لما كان ذلك، وكان من المقرر أن الأدلة في المواد الجنائية إقناعية وللمحكمة أن تلتفت عن دليل النفي ولو حملته أوراق رسمية مادام يصح في العقل أن يكون غير ملتئم مع الحقيقة التي تثبت لديها من باقي الأدلة المقدمة في الدعوى ومن ثم فإن كل ما يثيره الطاعن في هذا الصدد لا يكون له محل. لما كان ذلك، وكان من المقرر أن أقوال متهم على آخر هو في حقيقته شهادة يرجع تقديرها إلى محكمة الموضوع وكان وزن أقوال الشهود وتقدير الظروف التي يؤدون فيها شهادتهم وتعويل القضاء على أقوالهم مهما وجه إليها من مطاعن وحام حولها من الشبهات كل ذلك مرجعه إلى محكمة الموضوع تقدره التقدير الذي تطمئن إليه، وهي متى أخذت بشهادتهم فإن ذلك يفيد أنها أطرحت جميع الاعتبارات التي ساقها الدفاع لحملها على عدم الأخذ بها، وكانت المحكمة قد اطمأنت إلى قول المحكوم عليه السادس سواء في حق نفسه أو في حق غيره من المتهمين بشأن اشتراكهم في ارتكاب الجرائم المسندة إليهم لما ارتأته من مطابقته للحقيقة والواقع في الدعوى الذي استظهرته من عناصرها وظروفها وصدوره عنه طواعية وعن إرادة حرة دون أن يشوبه </w:t>
      </w:r>
      <w:r w:rsidRPr="00827DA0">
        <w:rPr>
          <w:rFonts w:asciiTheme="majorBidi" w:hAnsiTheme="majorBidi" w:cstheme="majorBidi" w:hint="cs"/>
          <w:sz w:val="32"/>
          <w:szCs w:val="32"/>
          <w:rtl/>
          <w:lang w:bidi="ar-BH"/>
        </w:rPr>
        <w:t>أي</w:t>
      </w:r>
      <w:r w:rsidRPr="00827DA0">
        <w:rPr>
          <w:rFonts w:asciiTheme="majorBidi" w:hAnsiTheme="majorBidi" w:cstheme="majorBidi"/>
          <w:sz w:val="32"/>
          <w:szCs w:val="32"/>
          <w:rtl/>
          <w:lang w:bidi="ar-BH"/>
        </w:rPr>
        <w:t xml:space="preserve"> إكراه، وكانت المحكمة قد اطمأنت إلى أقواله وعولت عليها ضمن الأدلة الأخرى التي عولت عليها في إدانة الطاعن فإن ما يثيره الطاعن بشأن تعويل الحكم على أقوال المحكوم عليه السادس لا يعدو أن يكون جدلا موضوعيا حول سلطة محكمة الموضوع في تقدير أدلة الدعوى واستنباط معتقدها وهو ما لا يجوز الخوض فيه لدى محكمة التمييز.</w:t>
      </w:r>
    </w:p>
    <w:p w:rsidR="009A768A" w:rsidRPr="00827DA0" w:rsidRDefault="009A768A" w:rsidP="009A768A">
      <w:pPr>
        <w:tabs>
          <w:tab w:val="left" w:pos="7619"/>
        </w:tabs>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لما كان ما تقدم، فإن الطعن برمته يكون على غير أساس، متعينا رفضه موضوعا.</w:t>
      </w:r>
    </w:p>
    <w:p w:rsidR="00FF667C" w:rsidRDefault="00FF667C">
      <w:pPr>
        <w:rPr>
          <w:lang w:bidi="ar-BH"/>
        </w:rPr>
      </w:pP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ECF"/>
    <w:rsid w:val="0003272B"/>
    <w:rsid w:val="009A768A"/>
    <w:rsid w:val="00BF4ECF"/>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6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A768A"/>
    <w:pPr>
      <w:bidi/>
      <w:spacing w:after="0" w:line="240" w:lineRule="auto"/>
    </w:pPr>
    <w:rPr>
      <w:rFonts w:ascii="Times New Roman" w:eastAsia="Times New Roman" w:hAnsi="Times New Roman" w:cs="Arabic Transparent"/>
      <w:sz w:val="20"/>
      <w:szCs w:val="28"/>
    </w:rPr>
  </w:style>
  <w:style w:type="character" w:customStyle="1" w:styleId="BodyText3Char">
    <w:name w:val="Body Text 3 Char"/>
    <w:basedOn w:val="DefaultParagraphFont"/>
    <w:link w:val="BodyText3"/>
    <w:rsid w:val="009A768A"/>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6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A768A"/>
    <w:pPr>
      <w:bidi/>
      <w:spacing w:after="0" w:line="240" w:lineRule="auto"/>
    </w:pPr>
    <w:rPr>
      <w:rFonts w:ascii="Times New Roman" w:eastAsia="Times New Roman" w:hAnsi="Times New Roman" w:cs="Arabic Transparent"/>
      <w:sz w:val="20"/>
      <w:szCs w:val="28"/>
    </w:rPr>
  </w:style>
  <w:style w:type="character" w:customStyle="1" w:styleId="BodyText3Char">
    <w:name w:val="Body Text 3 Char"/>
    <w:basedOn w:val="DefaultParagraphFont"/>
    <w:link w:val="BodyText3"/>
    <w:rsid w:val="009A768A"/>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1980</Words>
  <Characters>11288</Characters>
  <Application>Microsoft Office Word</Application>
  <DocSecurity>0</DocSecurity>
  <Lines>94</Lines>
  <Paragraphs>26</Paragraphs>
  <ScaleCrop>false</ScaleCrop>
  <Company/>
  <LinksUpToDate>false</LinksUpToDate>
  <CharactersWithSpaces>13242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2020-04-21T12:30:00Z</dcterms:created>
  <dcterms:modified xsi:type="dcterms:W3CDTF">2020-04-21T12:31:00Z</dcterms:modified>
</cp:coreProperties>
</file>