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C9" w:rsidRPr="00011591" w:rsidRDefault="001A70C9" w:rsidP="001A70C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28 من مارس سنة 2017</w:t>
      </w:r>
    </w:p>
    <w:p w:rsidR="001A70C9" w:rsidRPr="00011591" w:rsidRDefault="001A70C9" w:rsidP="001A70C9">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د. طه عبدالمولى طه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نادر السيد علي</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عبدالمطلب،</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إبراهيم محمد المرصفاوي</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عدنان عبدالله الشيخ هزيم الشامسي .</w:t>
      </w:r>
    </w:p>
    <w:p w:rsidR="001A70C9" w:rsidRPr="00011591" w:rsidRDefault="001A70C9" w:rsidP="001A70C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1A70C9" w:rsidRPr="00011591" w:rsidRDefault="001A70C9" w:rsidP="001A70C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107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1A70C9" w:rsidRPr="00011591" w:rsidRDefault="001A70C9" w:rsidP="001A70C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3 لسنة 2016 </w:t>
      </w:r>
    </w:p>
    <w:p w:rsidR="001A70C9" w:rsidRPr="00011591" w:rsidRDefault="001A70C9" w:rsidP="001A70C9">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(1-3)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 xml:space="preserve">ثبات . حكم . غرفة البحرين لتسوية المنازعات . محكمة الموضوع . </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غرفة البحرين لتسوية المنازعات . جهة قضائية مستقلة تتولى دون غيرها الفصل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المنازعات الاقتصادية والمالية والاستثمارية بين المؤسسات المالية المرخص لها بموجب أحكام قانون مصرف البحرين المركز</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أو بينها وبين غيرها من المؤسسات والشركات الأخرى وف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المنازعات التجارية الدولية متى زادت قيمتها ع</w:t>
      </w:r>
      <w:r w:rsidRPr="00011591">
        <w:rPr>
          <w:rFonts w:asciiTheme="majorBidi" w:hAnsiTheme="majorBidi" w:cstheme="majorBidi" w:hint="cs"/>
          <w:sz w:val="32"/>
          <w:szCs w:val="32"/>
          <w:rtl/>
          <w:lang w:bidi="ar-BH"/>
        </w:rPr>
        <w:t>لى</w:t>
      </w:r>
      <w:r w:rsidRPr="00011591">
        <w:rPr>
          <w:rFonts w:asciiTheme="majorBidi" w:hAnsiTheme="majorBidi" w:cstheme="majorBidi"/>
          <w:sz w:val="32"/>
          <w:szCs w:val="32"/>
          <w:rtl/>
          <w:lang w:bidi="ar-BH"/>
        </w:rPr>
        <w:t xml:space="preserve"> خمسمائة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لف دينار . مرسوم بق رقم 30 لسنة 2009 . خلص الحكم المطعون فيه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قضا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ه برفض الدفع بعدم اختصاص الغرفة بنظر الدعوى من أوراق الدعوى وتقرير الخبير أن الطاعن صاحب مؤسسة تجارية يباشر أعماله التجارية من خلالها وأن المطعون ضدها شركة تجارية أجنبي</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وأن المنازعة بينهما تجارية ومجموع المبالغ المطالب بها يزيد ع</w:t>
      </w:r>
      <w:r w:rsidRPr="00011591">
        <w:rPr>
          <w:rFonts w:asciiTheme="majorBidi" w:hAnsiTheme="majorBidi" w:cstheme="majorBidi" w:hint="cs"/>
          <w:sz w:val="32"/>
          <w:szCs w:val="32"/>
          <w:rtl/>
          <w:lang w:bidi="ar-BH"/>
        </w:rPr>
        <w:t>لى</w:t>
      </w:r>
      <w:r w:rsidRPr="00011591">
        <w:rPr>
          <w:rFonts w:asciiTheme="majorBidi" w:hAnsiTheme="majorBidi" w:cstheme="majorBidi"/>
          <w:sz w:val="32"/>
          <w:szCs w:val="32"/>
          <w:rtl/>
          <w:lang w:bidi="ar-BH"/>
        </w:rPr>
        <w:t xml:space="preserve"> مبلغ 500</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000 الف دينار صحيح . النع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 على غير أساس. </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تحصيل فهم الواقع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الدعوى على النحو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تراه متفقا مع الحقيقة واستخلاصه من الأدلة المطروحة ومنها أقوال الشهود وتقارير أهل الخبرة وقرائن الأحوال من سلطة محكمة الموضوع . لها أن تعول على ما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تطمئن إليه منها وطرح ماعداه . لازمه أن يكون استخلاصها سائغا لا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يجاف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ما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هو ثابت بالأوراق . </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قضاء الحكم المطعون فيه بإلزام الطاعن بأن يؤد</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إلى المطعون ضدها المبلغ المقض</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به تأسيسا على ما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خلص إليه من أقوال شاهديها وتقرير الخبير ا</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 xml:space="preserve">لذى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طمأنت الهيئة إليهما وثبوت مسئوليته عن أداء المبالغ الت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قضى بها صحيح . النع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 على غير أساس .</w:t>
      </w:r>
    </w:p>
    <w:p w:rsidR="001A70C9" w:rsidRPr="00011591" w:rsidRDefault="001A70C9" w:rsidP="001A70C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lastRenderedPageBreak/>
        <w:t>ـــــــــــــــــــــــــــــــــــــــــــــــــــــــــــــــ</w:t>
      </w:r>
    </w:p>
    <w:p w:rsidR="001A70C9" w:rsidRPr="00011591" w:rsidRDefault="001A70C9" w:rsidP="001A70C9">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 المشرع البحريني أنشأ غرف</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البحرين لتسوية المنازعات بالمرسوم بقانون 30 لسنة 2009 كجهة قضائية مستقل</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لتتولى دون غيرها الفصل في المنازعات الاقتصادية والمالية والاستثمارية بين المؤسسات المالية المرخص لها بموجب احكام قانون مصرف البحرين المركزي أو بينها وبين غيرها من المؤسسات والشركات الأخرى والافراد</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وفي المنازعات التجارية الدولية التي تدخل أصلا في اختصاص محاكم البحرين متى زادت قيمتها على خمسمائة الف دينار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وكان الحكم المطعون فيه قد خلص من أوراق الدعوى وتقرير الخبير إلى أن الطاعن صاحب مؤسسة تجارية يباشر اعماله التجارية من خلالها وأن المطعون ضدها شركة تجارية أجنبية وأن المنازعة بينهما هي منازعة تجارية بشأن استغلال المعدات المملوكة للأخيرة ، وان مجموع المبالغ المطالب بها يزيد على مبلغ 500000 دينار ورتب على ذلك قضاءه برفض الدفع بعدم اختصاص الغرفة بنظر الدعوى ، وكان ما خلص إليه الحكم وبنى عليه قضاءه سائغا وتطبيقا صحيحا للقانون فإن النعي في هذا الشأن يكون على غير أساس .</w:t>
      </w:r>
    </w:p>
    <w:p w:rsidR="001A70C9" w:rsidRPr="00011591" w:rsidRDefault="001A70C9" w:rsidP="001A70C9">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 محكمة الموضوع هي صاحبة السلطة التامة في تحصيل فهم الواقع في الدعوى على النحو الذي تراه متفقا مع الحقيقة التي تستخلصها من الأدلة المطروحة عليها ومنها أقوال الشهود وتقارير أهل الخبرة وقرائن الأحوال التي تخضع لتقديرها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ولها ان تعول على ما تطمئن إليه منها وتطرح ماعداه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معقب عليها في ذلك متى كان استخلاصها سائغا لا يجافي ما هو ثابت بالأوراق.</w:t>
      </w:r>
    </w:p>
    <w:p w:rsidR="001A70C9" w:rsidRPr="00011591" w:rsidRDefault="001A70C9" w:rsidP="001A70C9">
      <w:pPr>
        <w:pStyle w:val="Title"/>
        <w:numPr>
          <w:ilvl w:val="0"/>
          <w:numId w:val="1"/>
        </w:numPr>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وإذ كان الحكم المطعون فيه قد أقام قضاءه بالزام الطاعن بأن يؤدي إلى المطعون ضدها مبلغ 3195980,3 جنيها استرلينيا أو ما يعادله بالدينار البحريني على ما خلص إليه من أقوال شاهديها وتقرير الخبير ا</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لذين اطمأنت الهيئة إليهما من أنه بناء على اتفاق المطعون ضدها مع مدير المؤسسة المملوكة للطاعن ارسلت معدات وآلات حفر اساسات من الخارج وعن طريق شركات أخرى تابعة لها إلى البحرين وبعض الدول الأخرى إلى المواقع التي ينفذ فيها الطاعن اعماله وأنه دفع مبلغ 95/1</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163664 جنيها استرلينيا من المبالغ المستحقة عليه نظير استغلال تلك الآلات وأودعها حساب الطاعنة في بنك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 وتبقى في ذمته مبلغ 2924032,60 جنيها استرلينيا ، كما امتنع عن رد بعض الآلات التي ارسلت إليه وثبت من تقرير الخبير أنها مفقودة فيكون ملزما برد قيمتها باعتبار أن التنفيذ العيني اصبح مستحيلا ولا مناص من اللجوء إلى التنفيذ بطريق التعويض ، فلا يعد ذلك قضاء بما لم يطلبه الخصوم ، وكان ما خلص إليه الحكم وبنى عليه قضاءه سائغا له أصل ثابت بالأوراق وتطبيقا صحيحا للقانون فإن النعي عليه يكون على غير أساس.</w:t>
      </w:r>
    </w:p>
    <w:p w:rsidR="001A70C9" w:rsidRPr="00011591" w:rsidRDefault="001A70C9" w:rsidP="001A70C9">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المحكمــة</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بعد الاطلاع على الأوراق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وسماع التقرير الذي تلاه القاضي المقرر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وبعد المداولة.</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إن الطعن استوفى أوضاعه الشكلية.</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وحيث إن الشركة المطعون ضدها أقامت على الطاعن الدعوى رقم 29 لسنة 2013 أمام غرفة البحرين لتسوية المنازعات بطلبات ختامية هي طلب الحكم بإلزامه بأن يؤدي إليها مبلغ 4348781,930 جنيها استرلينيا أو ما يعادله بالدينار البحريني وفوائده التأخيرية من تاريخ الاستحقاق حتى السداد التام ، وإلزامه برد المعدات المبينة باللائحة ، وقالت بيانا لذلك إنه في غضون عام 2010 اتفقت مع مدير المؤسسة المملوكة للطاعن على أن تؤجر له معدات وآلات ح</w:t>
      </w:r>
      <w:r w:rsidRPr="00011591">
        <w:rPr>
          <w:rFonts w:asciiTheme="majorBidi" w:hAnsiTheme="majorBidi" w:cstheme="majorBidi" w:hint="cs"/>
          <w:sz w:val="32"/>
          <w:szCs w:val="32"/>
          <w:rtl/>
          <w:lang w:bidi="ar-BH"/>
        </w:rPr>
        <w:t>ف</w:t>
      </w:r>
      <w:r w:rsidRPr="00011591">
        <w:rPr>
          <w:rFonts w:asciiTheme="majorBidi" w:hAnsiTheme="majorBidi" w:cstheme="majorBidi"/>
          <w:sz w:val="32"/>
          <w:szCs w:val="32"/>
          <w:rtl/>
          <w:lang w:bidi="ar-BH"/>
        </w:rPr>
        <w:t xml:space="preserve">ر مقابل أجرة تحدد بحسب المعدات والآلات اللازمة واستخدمت بمعرفة الطاعن في 17 مشروعا بعضها في البحرين والباقي في بعض دول مجلس التعاون الخليجي في الفترة ما بين ديسمبر 2010 وإبريل 2013 ، </w:t>
      </w:r>
      <w:r w:rsidRPr="00011591">
        <w:rPr>
          <w:rFonts w:asciiTheme="majorBidi" w:hAnsiTheme="majorBidi" w:cstheme="majorBidi" w:hint="cs"/>
          <w:sz w:val="32"/>
          <w:szCs w:val="32"/>
          <w:rtl/>
          <w:lang w:bidi="ar-BH"/>
        </w:rPr>
        <w:t xml:space="preserve">على </w:t>
      </w:r>
      <w:r w:rsidRPr="00011591">
        <w:rPr>
          <w:rFonts w:asciiTheme="majorBidi" w:hAnsiTheme="majorBidi" w:cstheme="majorBidi"/>
          <w:sz w:val="32"/>
          <w:szCs w:val="32"/>
          <w:rtl/>
          <w:lang w:bidi="ar-BH"/>
        </w:rPr>
        <w:t xml:space="preserve">الرغم من أنها أوفت بالتزامها فإن الطاعن امتنع عن سداد جزء من مقابل انتفاعه بتلك المعدات وترصد في ذمته مبلغ 2919307,23 جنيهات استرلينية وهو ما يعادل 1773759,900 دينارا بحرينيا ، ولم يرد معدات قيمتها -/99735 جنيها استرلينيا وهو ما يعادل مبلغ 60598,600 دينارا بحرينيا واتلف بعض المعدات قامت بإصلاحها على نفقتها بمبلغ -/702041 جنيها استرلينيا وهو ما يعادل مبلغ 426557,410 دينارا بحرينيا ، وإذ طالبته بسداد تلك المبالغ إلا أنه امتنع عن الوفاء بها ، ومن ثم فقد أقامت الدعوى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دفع الطاعن بعدم اختصاص غرفة البحرين بنظر الدعوى تأسيسا على أن النزاع ليس له صفة تجارية. أحالت الهيئة المشك</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لة لتسوية النزاع الدعوى إلى التحقيق وبعد أن استمعت إلى شاهدي المطعون ضدها ندبت فيها خبيرا وبعد أن أودع تقريره حكمت برفض الدفع بعدم اختصاص الغرفة بنظر الدعوى وبإلزام الطاعن بأن يؤدي إلى المطعون ضدها مبلغ 3195980,3 جنيها استرلينيا أو ما يعادله بالدينار البحريني في يوم رفع الدعوى وفوائده التأخيرية بواقع 5% من تاريخ رفع الدعوى حتى السداد التام ، فطعن الطاعن في هذا الحكم بطريق التمييز والمكتب الفني أودع مذكرة برأيه في الطعن.</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إن الطعن أقيم على أربعة أسباب ينعى بها </w:t>
      </w:r>
      <w:r w:rsidRPr="00011591">
        <w:rPr>
          <w:rFonts w:asciiTheme="majorBidi" w:hAnsiTheme="majorBidi" w:cstheme="majorBidi" w:hint="cs"/>
          <w:sz w:val="32"/>
          <w:szCs w:val="32"/>
          <w:rtl/>
          <w:lang w:bidi="ar-BH"/>
        </w:rPr>
        <w:t xml:space="preserve">الطاعن </w:t>
      </w:r>
      <w:r w:rsidRPr="00011591">
        <w:rPr>
          <w:rFonts w:asciiTheme="majorBidi" w:hAnsiTheme="majorBidi" w:cstheme="majorBidi"/>
          <w:sz w:val="32"/>
          <w:szCs w:val="32"/>
          <w:rtl/>
          <w:lang w:bidi="ar-BH"/>
        </w:rPr>
        <w:t>على الحكم المطعون فيه مخالفة القانون والخطأ في تطبيقه ومخالفة الثابت بالأوراق والقصور حين رفض الدفع بعدم اختصاص غرفة البحرين بنظر الدعوى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لزامه بأداء المبلغ المقضي به استنادا إلى أن المنازعة المطروحة منازعة تجارية تزيد قيمتها على 500000 دينار وأن المطعون ضدها شركة أجنبية ، وإلى ما استخلصه من اقوال شاهدي المطعون ضدها وتقرير الخبير أن الطاعن اتفق معها على استغلال معدات الحفر المملوكة لها بتأجيرها للغير واقتسام مقابل التأجير ، وأنه أخل بالتزامه ولم يسدد لها نصيبها ولم يرد اليها بعض الآلات في حين أن المطعون ضدها لم تثبت وجود هذا الاتفاق ولم تثبت ملكيتها لتلك الآلات أو استئجارها من مالكها ، إذ ثبت من اقوال شاهديها أن هذه الآلات مملوكة لشركة أخرى ذات شخصية اعتبارية مستقلة فليس للمطعون ضدها صفة في المطالبة بقيمة ايجارها ، ولا يغير من ذلك ادعاؤها بملكيتها لتينك الشركتين إذ لم تقدم الدليل على صحة هذا الادعاء ، فضلا عن أن الخبير بنى تقريره استنادا إلى صور ضوئية لفواتير مصطنعة بمعرفة المطعون ضدها لا تثبت قيامها بتنفيذ التزامها وارسال الآلات إلى الطاعن وقد جحدها فلا يكون لها أي قيمة في الاثبات ، وجاءت متناقضة مع رأي الخبير </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أنه سدد بعض المبالغ للمطعون ضدها مع ان الثابت أن الشركة التي حولت تلك المبالغ هي شركة أخرى ، كما انتهى الخبير إلى أن الآلات محل النزاع ارسلت من شركات تابعة للمطعون ضدها إلى الطاعن خارج مملكة البحرين في حين أن نطاق المأمورية المكلف بها داخل مملكة البحرين والشركة المطعون ضدها فقط</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أن الفصل في تبعية هذه الشركات لها هي مسألة قانونية لا يجوز للخبير إبداء الرأي فيها ، هذا إلى أن الحكم قضى بإلزامه بقيمة المعدات التي ادعت المطعون ضدها فقدها مع أنها لم تطلب إلا ردها فيكون قد قضى بما لم يطلبه الخصوم بما يبطله ويستوجب نقضه.</w:t>
      </w:r>
    </w:p>
    <w:p w:rsidR="001A70C9" w:rsidRPr="00011591" w:rsidRDefault="001A70C9" w:rsidP="001A70C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النعي مردود</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 المشرع البحريني أنشأ غرف</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البحرين لتسوية المنازعات بالمرسوم بقانون 30 لسنة 2009 كجهة قضائية مستقله لتتولى دون غيرها الفصل في المنازعات الاقتصادية والمالية والاستثمارية بين المؤسسات المالية المرخص لها بموجب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حكام قانون مصرف البحرين المركزي أو بينها وبين غيرها من المؤسسات والشركات الأخرى وال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فراد</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وفي المنازعات التجارية الدولية التي تدخل أصلا في اختصاص محاكم البحرين متى زادت قيمتها على خمسمائة الف دينار, وكان الحكم المطعون فيه قد خلص من أوراق الدعوى وتقرير الخبير إلى أن الطاعن صاحب مؤسسة تجارية يباشر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عماله التجارية من خلالها وأن المطعون ضدها شركة تجارية أجنبية وأن المنازعة بينهما هي منازعة تجارية بشأن استغلال المعدات المملوكة للأخيرة ، وان مجموع المبالغ المطالب بها يزيد على مبلغ 500000 دينار ورتب على ذلك قضاءه برفض الدفع بعدم اختصاص الغرفة بنظر الدعوى ، وكان ما خلص إليه الحكم وبنى عليه قضاءه سائغا وتطبيقا صحيحا للقانون فإن النعي في هذا الشأن يكون على غير أساس</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والنعي في وجهه الثاني مردود أيضا ذلك أن محكمة الموضوع هي صاحبة السلطة التامة في تحصيل فهم الواقع في الدعوى على النحو الذي تراه متفقا مع الحقيقة التي تستخلصها من الأدلة المطروحة عليها ومنها أقوال الشهود وتقارير أهل الخبرة وقرائن الأحوال التي تخضع لتقديرها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ولها ان تعول على ما تطمئن إليه منها وتطرح ما عداه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 xml:space="preserve">دون معقب عليها في ذلك متى كان استخلاصها سائغا لا يجافي ما هو ثابت بالأوراق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لما كان ذلك وكان الحكم المطعون فيه قد أقام قضاءه بالزام الطاعن بأن يؤدي إلى المطعون ضدها مبلغ 3195980,3 جنيها استرلينيا أو ما يعادله بالدينار البحريني على ما خلص إليه من أقوال شاهديها وتقرير الخبير ا</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لذين اطمأنت الهيئة إليهما أنه بناء على اتفاق المطعون ضدها مع مدير المؤسسة المملوكة للطاعن ارسلت معدات وآلات حفر اساسات من الخارج وعن طريق شركات أخرى تابعة لها إلى البحرين وبعض الدول الأخرى إلى المواقع التي ينفذ فيها الطاعن اعماله وأنه دفع مبلغ 95/1</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163664 جنيها استرلينيا من المبالغ المستحقة عليه نظير استغلال تلك الآلات وأودعها حساب الطاعنة في بنك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 وتبقى في ذمته مبلغ 2924032,60 جنيها استرلينيا ، كما امتنع عن رد بعض الآلات التي ارسلت إليه وثبت من تقرير الخبير أنها مفقودة فيكون ملزما برد قيمتها باعتبار أن التنفيذ العيني اصبح مستحيلا ولا مناص من اللجوء إلى التنفيذ بطريق التعويض ، فلا يعد ذلك قضاء بما لم يطلبه الخصوم ، وكان ما خلص إليه الحكم وبنى عليه قضاءه سائغا له أصل ثابت بالأوراق وتطبيقا صحيحا للقانون فإن النعي عليه يكون على غير أساس ولا يغير من ذلك أن الخبير استند في تقريره إلى صور المستندات التي قدمتها المطعون ضدها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أنه فضلا عن مناق</w:t>
      </w:r>
      <w:r w:rsidRPr="00011591">
        <w:rPr>
          <w:rFonts w:asciiTheme="majorBidi" w:hAnsiTheme="majorBidi" w:cstheme="majorBidi" w:hint="cs"/>
          <w:sz w:val="32"/>
          <w:szCs w:val="32"/>
          <w:rtl/>
          <w:lang w:bidi="ar-BH"/>
        </w:rPr>
        <w:t>ض</w:t>
      </w:r>
      <w:r w:rsidRPr="00011591">
        <w:rPr>
          <w:rFonts w:asciiTheme="majorBidi" w:hAnsiTheme="majorBidi" w:cstheme="majorBidi"/>
          <w:sz w:val="32"/>
          <w:szCs w:val="32"/>
          <w:rtl/>
          <w:lang w:bidi="ar-BH"/>
        </w:rPr>
        <w:t xml:space="preserve">ة ما بها من بيانات بادعائه أنها جاءت متناقضة مع رأي الخبير فقد اقتصر دفاعه على جحد تلك الصور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أن يدع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عدم مطابقتها لأصلها ، فتخضع لتقدير الهيئة باعتبارها قرينة ضمن باقي القرائن والأدلة التي استدل بها الحكم المطعون فيه على ثبوت مسئولية الطاعن عن أداء المبالغ التي قضى بها ومن ثم يضحى النعي برمته على غير أساس وهو ما يتعين معه رفض الطعن. </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B4640"/>
    <w:multiLevelType w:val="hybridMultilevel"/>
    <w:tmpl w:val="74BE2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F2"/>
    <w:rsid w:val="0003272B"/>
    <w:rsid w:val="001A70C9"/>
    <w:rsid w:val="008C55F2"/>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C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70C9"/>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1A70C9"/>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C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70C9"/>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1A70C9"/>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2020-04-22T10:26:00Z</dcterms:created>
  <dcterms:modified xsi:type="dcterms:W3CDTF">2020-04-22T10:26:00Z</dcterms:modified>
</cp:coreProperties>
</file>