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34" w:rsidRPr="009C1834" w:rsidRDefault="009C1834" w:rsidP="009C1834">
      <w:pPr>
        <w:spacing w:after="0" w:line="240" w:lineRule="auto"/>
        <w:jc w:val="center"/>
        <w:rPr>
          <w:rFonts w:ascii="Times New Roman" w:eastAsia="Times New Roman" w:hAnsi="Times New Roman" w:cs="PT Bold Heading"/>
          <w:b/>
          <w:bCs/>
          <w:color w:val="008000"/>
          <w:sz w:val="32"/>
          <w:szCs w:val="32"/>
          <w:lang w:eastAsia="ar-SA"/>
        </w:rPr>
      </w:pPr>
      <w:r w:rsidRPr="009C1834">
        <w:rPr>
          <w:rFonts w:ascii="Times New Roman" w:eastAsia="Times New Roman" w:hAnsi="Times New Roman" w:cs="PT Bold Heading" w:hint="cs"/>
          <w:b/>
          <w:bCs/>
          <w:color w:val="008000"/>
          <w:sz w:val="32"/>
          <w:szCs w:val="32"/>
          <w:rtl/>
          <w:lang w:eastAsia="ar-SA"/>
        </w:rPr>
        <w:t>الطعن 2 لسنة 46 ق - جلسة 19-3-1979</w:t>
      </w:r>
    </w:p>
    <w:p w:rsidR="009C1834" w:rsidRPr="009C1834" w:rsidRDefault="009C1834" w:rsidP="009C1834">
      <w:pPr>
        <w:spacing w:after="0" w:line="240" w:lineRule="auto"/>
        <w:jc w:val="center"/>
        <w:rPr>
          <w:rFonts w:ascii="Times New Roman" w:eastAsia="Times New Roman" w:hAnsi="Times New Roman" w:cs="PT Bold Heading"/>
          <w:b/>
          <w:bCs/>
          <w:color w:val="008000"/>
          <w:sz w:val="32"/>
          <w:szCs w:val="32"/>
          <w:lang w:eastAsia="ar-SA"/>
        </w:rPr>
      </w:pPr>
      <w:r w:rsidRPr="009C1834">
        <w:rPr>
          <w:rFonts w:ascii="Times New Roman" w:eastAsia="Times New Roman" w:hAnsi="Times New Roman" w:cs="PT Bold Heading" w:hint="cs"/>
          <w:b/>
          <w:bCs/>
          <w:color w:val="008000"/>
          <w:sz w:val="32"/>
          <w:szCs w:val="32"/>
          <w:rtl/>
          <w:lang w:eastAsia="ar-SA"/>
        </w:rPr>
        <w:t>الموضوع ،  و  الموجز :</w:t>
      </w:r>
    </w:p>
    <w:p w:rsidR="009C1834" w:rsidRPr="009C1834" w:rsidRDefault="009C1834" w:rsidP="009C1834">
      <w:pPr>
        <w:spacing w:after="0" w:line="240" w:lineRule="auto"/>
        <w:jc w:val="lowKashida"/>
        <w:rPr>
          <w:rFonts w:ascii="Times New Roman" w:eastAsia="Times New Roman" w:hAnsi="Times New Roman" w:cs="Simplified Arabic"/>
          <w:b/>
          <w:bCs/>
          <w:sz w:val="32"/>
          <w:szCs w:val="32"/>
        </w:rPr>
      </w:pPr>
    </w:p>
    <w:p w:rsidR="009C1834" w:rsidRPr="009C1834" w:rsidRDefault="009C1834" w:rsidP="009C1834">
      <w:pPr>
        <w:spacing w:after="0" w:line="240" w:lineRule="auto"/>
        <w:jc w:val="lowKashida"/>
        <w:rPr>
          <w:rFonts w:ascii="Times New Roman" w:eastAsia="Times New Roman" w:hAnsi="Times New Roman" w:cs="Simplified Arabic"/>
          <w:b/>
          <w:bCs/>
          <w:sz w:val="28"/>
          <w:szCs w:val="28"/>
        </w:rPr>
      </w:pPr>
      <w:r w:rsidRPr="009C1834">
        <w:rPr>
          <w:rFonts w:ascii="Simplified Arabic" w:eastAsia="Times New Roman" w:hAnsi="Simplified Arabic" w:cs="Simplified Arabic"/>
          <w:b/>
          <w:bCs/>
          <w:sz w:val="32"/>
          <w:szCs w:val="32"/>
          <w:rtl/>
        </w:rPr>
        <w:t xml:space="preserve">(1) </w:t>
      </w:r>
      <w:r w:rsidRPr="009C1834">
        <w:rPr>
          <w:rFonts w:ascii="Simplified Arabic" w:eastAsia="Times New Roman" w:hAnsi="Simplified Arabic" w:cs="Simplified Arabic"/>
          <w:b/>
          <w:bCs/>
          <w:sz w:val="28"/>
          <w:szCs w:val="24"/>
          <w:rtl/>
        </w:rPr>
        <w:t xml:space="preserve">   </w:t>
      </w:r>
      <w:r w:rsidRPr="009C1834">
        <w:rPr>
          <w:rFonts w:ascii="Simplified Arabic" w:eastAsia="Times New Roman" w:hAnsi="Simplified Arabic" w:cs="Simplified Arabic"/>
          <w:b/>
          <w:bCs/>
          <w:sz w:val="28"/>
          <w:szCs w:val="28"/>
          <w:rtl/>
        </w:rPr>
        <w:t xml:space="preserve"> دعوى  " دعوى الضمان "</w:t>
      </w:r>
    </w:p>
    <w:p w:rsidR="009C1834" w:rsidRPr="009C1834" w:rsidRDefault="009C1834" w:rsidP="009C1834">
      <w:pPr>
        <w:spacing w:after="0" w:line="240" w:lineRule="auto"/>
        <w:rPr>
          <w:rFonts w:ascii="Times New Roman" w:eastAsia="Times New Roman" w:hAnsi="Times New Roman" w:cs="Simplified Arabic"/>
          <w:sz w:val="28"/>
          <w:szCs w:val="28"/>
        </w:rPr>
      </w:pPr>
      <w:r w:rsidRPr="009C1834">
        <w:rPr>
          <w:rFonts w:ascii="Times New Roman" w:eastAsia="Times New Roman" w:hAnsi="Times New Roman" w:cs="Simplified Arabic"/>
          <w:sz w:val="28"/>
          <w:szCs w:val="28"/>
        </w:rPr>
        <w:t>-</w:t>
      </w:r>
      <w:r w:rsidRPr="009C1834">
        <w:rPr>
          <w:rFonts w:ascii="Simplified Arabic" w:eastAsia="Times New Roman" w:hAnsi="Simplified Arabic" w:cs="Simplified Arabic"/>
          <w:sz w:val="28"/>
          <w:szCs w:val="28"/>
          <w:rtl/>
        </w:rPr>
        <w:t xml:space="preserve"> دعوي </w:t>
      </w:r>
      <w:proofErr w:type="gramStart"/>
      <w:r w:rsidRPr="009C1834">
        <w:rPr>
          <w:rFonts w:ascii="Simplified Arabic" w:eastAsia="Times New Roman" w:hAnsi="Simplified Arabic" w:cs="Simplified Arabic"/>
          <w:sz w:val="28"/>
          <w:szCs w:val="28"/>
          <w:rtl/>
        </w:rPr>
        <w:t>الضمان .</w:t>
      </w:r>
      <w:proofErr w:type="gramEnd"/>
      <w:r w:rsidRPr="009C1834">
        <w:rPr>
          <w:rFonts w:ascii="Simplified Arabic" w:eastAsia="Times New Roman" w:hAnsi="Simplified Arabic" w:cs="Simplified Arabic"/>
          <w:sz w:val="28"/>
          <w:szCs w:val="28"/>
          <w:rtl/>
        </w:rPr>
        <w:t xml:space="preserve"> استقلالها عن الدعوي الأصلية . عدم اعتبارها دفعا أو دفاعا فيها . عدم وجوب اختصام الضامن في الطعن المرفوع عن الحكم في الدعوي الأصلية</w:t>
      </w:r>
    </w:p>
    <w:p w:rsidR="009C1834" w:rsidRPr="009C1834" w:rsidRDefault="009C1834" w:rsidP="009C1834">
      <w:pPr>
        <w:spacing w:after="0" w:line="240" w:lineRule="auto"/>
        <w:jc w:val="lowKashida"/>
        <w:rPr>
          <w:rFonts w:ascii="Simplified Arabic" w:eastAsia="Times New Roman" w:hAnsi="Simplified Arabic" w:cs="Simplified Arabic"/>
          <w:b/>
          <w:bCs/>
          <w:sz w:val="28"/>
          <w:szCs w:val="24"/>
        </w:rPr>
      </w:pPr>
    </w:p>
    <w:p w:rsidR="009C1834" w:rsidRPr="009C1834" w:rsidRDefault="009C1834" w:rsidP="009C1834">
      <w:pPr>
        <w:spacing w:after="0" w:line="240" w:lineRule="auto"/>
        <w:jc w:val="lowKashida"/>
        <w:rPr>
          <w:rFonts w:ascii="Times New Roman" w:eastAsia="Times New Roman" w:hAnsi="Times New Roman" w:cs="Simplified Arabic"/>
          <w:b/>
          <w:bCs/>
          <w:sz w:val="28"/>
          <w:szCs w:val="24"/>
          <w:rtl/>
        </w:rPr>
      </w:pPr>
      <w:r w:rsidRPr="009C1834">
        <w:rPr>
          <w:rFonts w:ascii="Simplified Arabic" w:eastAsia="Times New Roman" w:hAnsi="Simplified Arabic" w:cs="Simplified Arabic"/>
          <w:b/>
          <w:bCs/>
          <w:sz w:val="32"/>
          <w:szCs w:val="32"/>
          <w:rtl/>
        </w:rPr>
        <w:t xml:space="preserve">(2) </w:t>
      </w:r>
      <w:r w:rsidRPr="009C1834">
        <w:rPr>
          <w:rFonts w:ascii="Simplified Arabic" w:eastAsia="Times New Roman" w:hAnsi="Simplified Arabic" w:cs="Simplified Arabic"/>
          <w:b/>
          <w:bCs/>
          <w:sz w:val="28"/>
          <w:szCs w:val="24"/>
          <w:rtl/>
        </w:rPr>
        <w:t xml:space="preserve">   </w:t>
      </w:r>
      <w:r w:rsidRPr="009C1834">
        <w:rPr>
          <w:rFonts w:ascii="Simplified Arabic" w:eastAsia="Times New Roman" w:hAnsi="Simplified Arabic" w:cs="Simplified Arabic"/>
          <w:b/>
          <w:bCs/>
          <w:sz w:val="28"/>
          <w:szCs w:val="28"/>
          <w:rtl/>
        </w:rPr>
        <w:t>دعوى</w:t>
      </w:r>
      <w:r w:rsidRPr="009C1834">
        <w:rPr>
          <w:rFonts w:ascii="Simplified Arabic" w:eastAsia="Times New Roman" w:hAnsi="Simplified Arabic" w:cs="Simplified Arabic"/>
          <w:b/>
          <w:bCs/>
          <w:sz w:val="28"/>
          <w:szCs w:val="24"/>
          <w:rtl/>
        </w:rPr>
        <w:t xml:space="preserve"> </w:t>
      </w:r>
    </w:p>
    <w:p w:rsidR="009C1834" w:rsidRPr="009C1834" w:rsidRDefault="009C1834" w:rsidP="009C1834">
      <w:pPr>
        <w:spacing w:after="0" w:line="240" w:lineRule="auto"/>
        <w:rPr>
          <w:rFonts w:ascii="Simplified Arabic" w:eastAsia="Times New Roman" w:hAnsi="Simplified Arabic" w:cs="Simplified Arabic"/>
          <w:sz w:val="28"/>
          <w:szCs w:val="28"/>
        </w:rPr>
      </w:pPr>
      <w:r w:rsidRPr="009C1834">
        <w:rPr>
          <w:rFonts w:ascii="Times New Roman" w:eastAsia="Times New Roman" w:hAnsi="Times New Roman" w:cs="Simplified Arabic"/>
          <w:sz w:val="28"/>
          <w:szCs w:val="28"/>
        </w:rPr>
        <w:t>-</w:t>
      </w:r>
      <w:r w:rsidRPr="009C1834">
        <w:rPr>
          <w:rFonts w:ascii="Simplified Arabic" w:eastAsia="Times New Roman" w:hAnsi="Simplified Arabic" w:cs="Simplified Arabic"/>
          <w:sz w:val="28"/>
          <w:szCs w:val="28"/>
          <w:rtl/>
        </w:rPr>
        <w:t xml:space="preserve"> المستندات والمذكرات المقدمة من الخصم </w:t>
      </w:r>
      <w:proofErr w:type="gramStart"/>
      <w:r w:rsidRPr="009C1834">
        <w:rPr>
          <w:rFonts w:ascii="Simplified Arabic" w:eastAsia="Times New Roman" w:hAnsi="Simplified Arabic" w:cs="Simplified Arabic"/>
          <w:sz w:val="28"/>
          <w:szCs w:val="28"/>
          <w:rtl/>
        </w:rPr>
        <w:t>بالجلسة .</w:t>
      </w:r>
      <w:proofErr w:type="gramEnd"/>
      <w:r w:rsidRPr="009C1834">
        <w:rPr>
          <w:rFonts w:ascii="Simplified Arabic" w:eastAsia="Times New Roman" w:hAnsi="Simplified Arabic" w:cs="Simplified Arabic"/>
          <w:sz w:val="28"/>
          <w:szCs w:val="28"/>
          <w:rtl/>
        </w:rPr>
        <w:t xml:space="preserve"> عدم التزامه باعلان خصمه بها . علة ذلك . وجوب متابعة الخصم لاجراءات الدعوي وجلساتها</w:t>
      </w:r>
    </w:p>
    <w:p w:rsidR="009C1834" w:rsidRPr="009C1834" w:rsidRDefault="009C1834" w:rsidP="009C1834">
      <w:pPr>
        <w:spacing w:after="0" w:line="240" w:lineRule="auto"/>
        <w:rPr>
          <w:rFonts w:ascii="Simplified Arabic" w:eastAsia="Times New Roman" w:hAnsi="Simplified Arabic" w:cs="Simplified Arabic"/>
          <w:sz w:val="28"/>
          <w:szCs w:val="28"/>
          <w:rtl/>
        </w:rPr>
      </w:pPr>
    </w:p>
    <w:p w:rsidR="009C1834" w:rsidRPr="009C1834" w:rsidRDefault="009C1834" w:rsidP="009C1834">
      <w:pPr>
        <w:spacing w:after="0" w:line="240" w:lineRule="auto"/>
        <w:jc w:val="lowKashida"/>
        <w:rPr>
          <w:rFonts w:ascii="Simplified Arabic" w:eastAsia="Times New Roman" w:hAnsi="Simplified Arabic" w:cs="Simplified Arabic"/>
          <w:b/>
          <w:bCs/>
          <w:sz w:val="28"/>
          <w:szCs w:val="24"/>
          <w:rtl/>
        </w:rPr>
      </w:pPr>
      <w:r w:rsidRPr="009C1834">
        <w:rPr>
          <w:rFonts w:ascii="Simplified Arabic" w:eastAsia="Times New Roman" w:hAnsi="Simplified Arabic" w:cs="Simplified Arabic"/>
          <w:b/>
          <w:bCs/>
          <w:sz w:val="32"/>
          <w:szCs w:val="32"/>
          <w:rtl/>
        </w:rPr>
        <w:t xml:space="preserve">(3) </w:t>
      </w:r>
      <w:r w:rsidRPr="009C1834">
        <w:rPr>
          <w:rFonts w:ascii="Simplified Arabic" w:eastAsia="Times New Roman" w:hAnsi="Simplified Arabic" w:cs="Simplified Arabic"/>
          <w:b/>
          <w:bCs/>
          <w:sz w:val="28"/>
          <w:szCs w:val="24"/>
          <w:rtl/>
        </w:rPr>
        <w:t xml:space="preserve">   </w:t>
      </w:r>
      <w:r w:rsidRPr="009C1834">
        <w:rPr>
          <w:rFonts w:ascii="Simplified Arabic" w:eastAsia="Times New Roman" w:hAnsi="Simplified Arabic" w:cs="Simplified Arabic"/>
          <w:b/>
          <w:bCs/>
          <w:sz w:val="28"/>
          <w:szCs w:val="28"/>
          <w:rtl/>
        </w:rPr>
        <w:t>مسئولية</w:t>
      </w:r>
    </w:p>
    <w:p w:rsidR="009C1834" w:rsidRPr="009C1834" w:rsidRDefault="009C1834" w:rsidP="009C1834">
      <w:pPr>
        <w:spacing w:after="0" w:line="240" w:lineRule="auto"/>
        <w:rPr>
          <w:rFonts w:ascii="Times New Roman" w:eastAsia="Times New Roman" w:hAnsi="Times New Roman" w:cs="Simplified Arabic"/>
          <w:sz w:val="28"/>
          <w:szCs w:val="28"/>
          <w:rtl/>
        </w:rPr>
      </w:pPr>
      <w:r w:rsidRPr="009C1834">
        <w:rPr>
          <w:rFonts w:ascii="Times New Roman" w:eastAsia="Times New Roman" w:hAnsi="Times New Roman" w:cs="Simplified Arabic"/>
          <w:sz w:val="28"/>
          <w:szCs w:val="28"/>
        </w:rPr>
        <w:t>-</w:t>
      </w:r>
      <w:r w:rsidRPr="009C1834">
        <w:rPr>
          <w:rFonts w:ascii="Simplified Arabic" w:eastAsia="Times New Roman" w:hAnsi="Simplified Arabic" w:cs="Simplified Arabic"/>
          <w:sz w:val="28"/>
          <w:szCs w:val="28"/>
          <w:rtl/>
        </w:rPr>
        <w:t xml:space="preserve"> مسئولية أمين النقل مسئولية عقدية تحققها باثبات عدم تسليم البضائع للمرسل اليه دون حاجة لاثبات الخطأ فى جانب الناقل انتفاء مسئوليته متى أثبت وجود قوة قاهرة أو عيب فى البضاعة أو خطأ من </w:t>
      </w:r>
      <w:proofErr w:type="gramStart"/>
      <w:r w:rsidRPr="009C1834">
        <w:rPr>
          <w:rFonts w:ascii="Simplified Arabic" w:eastAsia="Times New Roman" w:hAnsi="Simplified Arabic" w:cs="Simplified Arabic"/>
          <w:sz w:val="28"/>
          <w:szCs w:val="28"/>
          <w:rtl/>
        </w:rPr>
        <w:t>المرسل .</w:t>
      </w:r>
      <w:proofErr w:type="gramEnd"/>
    </w:p>
    <w:p w:rsidR="009C1834" w:rsidRPr="009C1834" w:rsidRDefault="009C1834" w:rsidP="009C1834">
      <w:pPr>
        <w:spacing w:after="0" w:line="240" w:lineRule="auto"/>
        <w:jc w:val="lowKashida"/>
        <w:rPr>
          <w:rFonts w:ascii="Simplified Arabic" w:eastAsia="Times New Roman" w:hAnsi="Simplified Arabic" w:cs="Simplified Arabic"/>
          <w:b/>
          <w:bCs/>
          <w:sz w:val="28"/>
          <w:szCs w:val="24"/>
        </w:rPr>
      </w:pPr>
    </w:p>
    <w:p w:rsidR="009C1834" w:rsidRPr="009C1834" w:rsidRDefault="009C1834" w:rsidP="009C1834">
      <w:pPr>
        <w:spacing w:after="0" w:line="240" w:lineRule="auto"/>
        <w:jc w:val="lowKashida"/>
        <w:rPr>
          <w:rFonts w:ascii="Simplified Arabic" w:eastAsia="Times New Roman" w:hAnsi="Simplified Arabic" w:cs="Simplified Arabic"/>
          <w:b/>
          <w:bCs/>
          <w:sz w:val="28"/>
          <w:szCs w:val="24"/>
          <w:rtl/>
        </w:rPr>
      </w:pPr>
      <w:r w:rsidRPr="009C1834">
        <w:rPr>
          <w:rFonts w:ascii="Simplified Arabic" w:eastAsia="Times New Roman" w:hAnsi="Simplified Arabic" w:cs="Simplified Arabic"/>
          <w:b/>
          <w:bCs/>
          <w:sz w:val="32"/>
          <w:szCs w:val="32"/>
          <w:rtl/>
        </w:rPr>
        <w:t xml:space="preserve">(4) </w:t>
      </w:r>
      <w:r w:rsidRPr="009C1834">
        <w:rPr>
          <w:rFonts w:ascii="Simplified Arabic" w:eastAsia="Times New Roman" w:hAnsi="Simplified Arabic" w:cs="Simplified Arabic"/>
          <w:b/>
          <w:bCs/>
          <w:sz w:val="28"/>
          <w:szCs w:val="24"/>
          <w:rtl/>
        </w:rPr>
        <w:t xml:space="preserve">    </w:t>
      </w:r>
      <w:r w:rsidRPr="009C1834">
        <w:rPr>
          <w:rFonts w:ascii="Simplified Arabic" w:eastAsia="Times New Roman" w:hAnsi="Simplified Arabic" w:cs="Simplified Arabic"/>
          <w:b/>
          <w:bCs/>
          <w:sz w:val="28"/>
          <w:szCs w:val="28"/>
          <w:rtl/>
        </w:rPr>
        <w:t>إلتزام</w:t>
      </w:r>
      <w:r w:rsidRPr="009C1834">
        <w:rPr>
          <w:rFonts w:ascii="Simplified Arabic" w:eastAsia="Times New Roman" w:hAnsi="Simplified Arabic" w:cs="Simplified Arabic"/>
          <w:b/>
          <w:bCs/>
          <w:sz w:val="28"/>
          <w:szCs w:val="24"/>
          <w:rtl/>
        </w:rPr>
        <w:t xml:space="preserve"> </w:t>
      </w:r>
    </w:p>
    <w:p w:rsidR="009C1834" w:rsidRPr="009C1834" w:rsidRDefault="009C1834" w:rsidP="009C1834">
      <w:pPr>
        <w:spacing w:after="0" w:line="240" w:lineRule="auto"/>
        <w:rPr>
          <w:rFonts w:ascii="Times New Roman" w:eastAsia="Times New Roman" w:hAnsi="Times New Roman" w:cs="Simplified Arabic"/>
          <w:sz w:val="28"/>
          <w:szCs w:val="28"/>
          <w:rtl/>
        </w:rPr>
      </w:pPr>
      <w:r w:rsidRPr="009C1834">
        <w:rPr>
          <w:rFonts w:ascii="Times New Roman" w:eastAsia="Times New Roman" w:hAnsi="Times New Roman" w:cs="Simplified Arabic"/>
          <w:sz w:val="28"/>
          <w:szCs w:val="28"/>
        </w:rPr>
        <w:t>-</w:t>
      </w:r>
      <w:r w:rsidRPr="009C1834">
        <w:rPr>
          <w:rFonts w:ascii="Simplified Arabic" w:eastAsia="Times New Roman" w:hAnsi="Simplified Arabic" w:cs="Simplified Arabic"/>
          <w:sz w:val="28"/>
          <w:szCs w:val="28"/>
          <w:rtl/>
        </w:rPr>
        <w:t xml:space="preserve"> الحادث المفاجىء الذى ينقضى به </w:t>
      </w:r>
      <w:proofErr w:type="gramStart"/>
      <w:r w:rsidRPr="009C1834">
        <w:rPr>
          <w:rFonts w:ascii="Simplified Arabic" w:eastAsia="Times New Roman" w:hAnsi="Simplified Arabic" w:cs="Simplified Arabic"/>
          <w:sz w:val="28"/>
          <w:szCs w:val="28"/>
          <w:rtl/>
        </w:rPr>
        <w:t>الالتزام .</w:t>
      </w:r>
      <w:proofErr w:type="gramEnd"/>
      <w:r w:rsidRPr="009C1834">
        <w:rPr>
          <w:rFonts w:ascii="Simplified Arabic" w:eastAsia="Times New Roman" w:hAnsi="Simplified Arabic" w:cs="Simplified Arabic"/>
          <w:sz w:val="28"/>
          <w:szCs w:val="28"/>
          <w:rtl/>
        </w:rPr>
        <w:t xml:space="preserve"> شرطه . عدم امكان توقعه واستحالة دفعه . تقدير ذلك. من سلطة محكمة الموضوع متى أقامت قضاءها على أسباب سائغة</w:t>
      </w:r>
    </w:p>
    <w:p w:rsidR="009C1834" w:rsidRPr="009C1834" w:rsidRDefault="009C1834" w:rsidP="009C1834">
      <w:pPr>
        <w:spacing w:after="0" w:line="240" w:lineRule="auto"/>
        <w:jc w:val="lowKashida"/>
        <w:rPr>
          <w:rFonts w:ascii="Times New Roman" w:eastAsia="Times New Roman" w:hAnsi="Times New Roman" w:cs="Simplified Arabic"/>
          <w:b/>
          <w:bCs/>
          <w:sz w:val="28"/>
          <w:szCs w:val="24"/>
        </w:rPr>
      </w:pPr>
    </w:p>
    <w:p w:rsidR="009C1834" w:rsidRPr="009C1834" w:rsidRDefault="009C1834" w:rsidP="009C1834">
      <w:pPr>
        <w:spacing w:after="0" w:line="240" w:lineRule="auto"/>
        <w:jc w:val="center"/>
        <w:rPr>
          <w:rFonts w:ascii="Times New Roman" w:eastAsia="Times New Roman" w:hAnsi="Times New Roman" w:cs="PT Bold Heading"/>
          <w:b/>
          <w:bCs/>
          <w:color w:val="008000"/>
          <w:sz w:val="32"/>
          <w:szCs w:val="32"/>
          <w:lang w:eastAsia="ar-SA"/>
        </w:rPr>
      </w:pPr>
      <w:r w:rsidRPr="009C1834">
        <w:rPr>
          <w:rFonts w:ascii="Times New Roman" w:eastAsia="Times New Roman" w:hAnsi="Times New Roman" w:cs="PT Bold Heading" w:hint="cs"/>
          <w:b/>
          <w:bCs/>
          <w:color w:val="008000"/>
          <w:sz w:val="32"/>
          <w:szCs w:val="32"/>
          <w:rtl/>
          <w:lang w:eastAsia="ar-SA"/>
        </w:rPr>
        <w:t>القاعدة</w:t>
      </w:r>
    </w:p>
    <w:p w:rsidR="009C1834" w:rsidRPr="009C1834" w:rsidRDefault="009C1834" w:rsidP="009C1834">
      <w:pPr>
        <w:spacing w:after="0" w:line="240" w:lineRule="auto"/>
        <w:jc w:val="lowKashida"/>
        <w:rPr>
          <w:rFonts w:ascii="Times New Roman" w:eastAsia="Times New Roman" w:hAnsi="Times New Roman" w:cs="Simplified Arabic" w:hint="cs"/>
          <w:sz w:val="28"/>
          <w:szCs w:val="28"/>
          <w:rtl/>
        </w:rPr>
      </w:pPr>
      <w:r w:rsidRPr="009C1834">
        <w:rPr>
          <w:rFonts w:ascii="Simplified Arabic" w:eastAsia="Times New Roman" w:hAnsi="Simplified Arabic" w:cs="Simplified Arabic"/>
          <w:sz w:val="28"/>
          <w:szCs w:val="28"/>
          <w:rtl/>
        </w:rPr>
        <w:t>1- دعوى الضمان مستقلة بكيانها عن الدعوى الأصلية و لا تعتبر دفاعاً و لا دفعاً فيه و لا يعتبر الحكم الصادر فى الدعوى الأصلية فاصلاً فى دعوى الضمان و إذ نصت المادة 218 من قانون  المرافعات فى نهاية فقرتها الأخيرة على جواز إختصام الضامن أو طالب الضمان فى الطعن المرفوع على أيهما ، فإن مفاد ذلك أن المشرع لم يوجب إختصام الضامن فى الطعن المرفوع من الحكم الصادر فى الدعوى الأصلية ، و لما كان ذلك فإنه لا على المطعون ضدها أن هى إقتصرت على إختصام الطاعنة فى الطعن بالإستئناف فى الحكم الصادر فى الدعوى الأصلية دون أن تختصم من أدخلتهم هذه الأخيرة فى دعوى الضمان .</w:t>
      </w:r>
    </w:p>
    <w:p w:rsidR="009C1834" w:rsidRPr="009C1834" w:rsidRDefault="009C1834" w:rsidP="009C1834">
      <w:pPr>
        <w:spacing w:after="0" w:line="240" w:lineRule="auto"/>
        <w:jc w:val="lowKashida"/>
        <w:rPr>
          <w:rFonts w:ascii="Times New Roman" w:eastAsia="Times New Roman" w:hAnsi="Times New Roman" w:cs="Simplified Arabic"/>
          <w:sz w:val="28"/>
          <w:szCs w:val="28"/>
        </w:rPr>
      </w:pPr>
    </w:p>
    <w:p w:rsidR="009C1834" w:rsidRPr="009C1834" w:rsidRDefault="009C1834" w:rsidP="009C1834">
      <w:pPr>
        <w:spacing w:after="0" w:line="240" w:lineRule="auto"/>
        <w:jc w:val="lowKashida"/>
        <w:rPr>
          <w:rFonts w:ascii="Times New Roman" w:eastAsia="Times New Roman" w:hAnsi="Times New Roman" w:cs="Simplified Arabic"/>
          <w:sz w:val="28"/>
          <w:szCs w:val="28"/>
        </w:rPr>
      </w:pPr>
      <w:r w:rsidRPr="009C1834">
        <w:rPr>
          <w:rFonts w:ascii="Simplified Arabic" w:eastAsia="Times New Roman" w:hAnsi="Simplified Arabic" w:cs="Simplified Arabic"/>
          <w:sz w:val="28"/>
          <w:szCs w:val="28"/>
          <w:rtl/>
        </w:rPr>
        <w:lastRenderedPageBreak/>
        <w:t>2- للخصم أن يقدم مستنداته و مذكراته بالجلسة سواء حضرها خصمه الآخر أو ثبت عن حضورها و لا يلتزم بإعلانها لخصمه الغائب إذ المفروض أن يتابع كل خصم دعواه و يطلع على ما يبدى فى جلساتها من دفاع و يقدم فيه من أوراق و لا أدل على ذلك من أن المشرع لم يطلب فى المادة 168 من قانون المرافعات إطلاع الخصم أو إعلانه بما يقدمه خصمه من أوراق و مذكرات إلا فى حالة تقديمها أثناء المداولة التى تنقطع بها صلة الخصوم بالدعوى و تصبح فى حوزة المحكمة لبحثها و المداولة فيها .</w:t>
      </w:r>
    </w:p>
    <w:p w:rsidR="009C1834" w:rsidRPr="009C1834" w:rsidRDefault="009C1834" w:rsidP="009C1834">
      <w:pPr>
        <w:spacing w:after="0" w:line="240" w:lineRule="auto"/>
        <w:jc w:val="lowKashida"/>
        <w:rPr>
          <w:rFonts w:ascii="Times New Roman" w:eastAsia="Times New Roman" w:hAnsi="Times New Roman" w:cs="Simplified Arabic"/>
          <w:sz w:val="28"/>
          <w:szCs w:val="28"/>
        </w:rPr>
      </w:pPr>
    </w:p>
    <w:p w:rsidR="009C1834" w:rsidRPr="009C1834" w:rsidRDefault="009C1834" w:rsidP="009C1834">
      <w:pPr>
        <w:spacing w:after="0" w:line="240" w:lineRule="auto"/>
        <w:jc w:val="lowKashida"/>
        <w:rPr>
          <w:rFonts w:ascii="Times New Roman" w:eastAsia="Times New Roman" w:hAnsi="Times New Roman" w:cs="Simplified Arabic"/>
          <w:sz w:val="28"/>
          <w:szCs w:val="28"/>
        </w:rPr>
      </w:pPr>
      <w:r w:rsidRPr="009C1834">
        <w:rPr>
          <w:rFonts w:ascii="Simplified Arabic" w:eastAsia="Times New Roman" w:hAnsi="Simplified Arabic" w:cs="Simplified Arabic"/>
          <w:sz w:val="28"/>
          <w:szCs w:val="28"/>
          <w:rtl/>
        </w:rPr>
        <w:t>3- مسئولية أمين النقل هى مسئوليه تعاقدية ناتجة عن إخلاله بإلتزامه الناشىء من عقد النقل - و هو إلتزام بتحقيق غاية - و يكفى لإثبات إخلاله تعهده بثبوت عدم تسليم البضاعة إلى المرسل إليه دون حاجة إلى إثبات وقوع خطأ أو إهمال من جانب أمين النقل و إنما يكون على الناقل إذ أراد دفع المسئولية عن نفسه أن يثبت أن عدم تسليم البضاعة أو تلقها يرجع إلى سبب أجنبى لا يد له فيه لقوة قاهرة أو عيب فى البضاعة أو خطأ من المرسل .</w:t>
      </w:r>
    </w:p>
    <w:p w:rsidR="009C1834" w:rsidRPr="009C1834" w:rsidRDefault="009C1834" w:rsidP="009C1834">
      <w:pPr>
        <w:spacing w:after="0" w:line="240" w:lineRule="auto"/>
        <w:jc w:val="lowKashida"/>
        <w:rPr>
          <w:rFonts w:ascii="Times New Roman" w:eastAsia="Times New Roman" w:hAnsi="Times New Roman" w:cs="Simplified Arabic"/>
          <w:sz w:val="28"/>
          <w:szCs w:val="28"/>
        </w:rPr>
      </w:pPr>
    </w:p>
    <w:p w:rsidR="009C1834" w:rsidRPr="009C1834" w:rsidRDefault="009C1834" w:rsidP="009C1834">
      <w:pPr>
        <w:spacing w:after="0" w:line="240" w:lineRule="auto"/>
        <w:jc w:val="lowKashida"/>
        <w:rPr>
          <w:rFonts w:ascii="Times New Roman" w:eastAsia="Times New Roman" w:hAnsi="Times New Roman" w:cs="Simplified Arabic"/>
          <w:sz w:val="28"/>
          <w:szCs w:val="28"/>
        </w:rPr>
      </w:pPr>
      <w:r w:rsidRPr="009C1834">
        <w:rPr>
          <w:rFonts w:ascii="Simplified Arabic" w:eastAsia="Times New Roman" w:hAnsi="Simplified Arabic" w:cs="Simplified Arabic"/>
          <w:sz w:val="28"/>
          <w:szCs w:val="28"/>
          <w:rtl/>
        </w:rPr>
        <w:t>4-يشترط فى القوة القاهرة أو الحادث المفاجىء الذى يترتب عليه إستحالة التنفيذ  و  ينقضى به إلتزام عدم إمكان  توقعة و إستحالة دفعه ، و تقدير ما إذا كانت الواقعه المدعى بها تعتبر قوة قاهرة هو تقدير موضوعى تملكه محكمة الموضوع فى حدود سلطتها التقديرية متى أقامت قضاءها على أسباب سائغة .</w:t>
      </w:r>
    </w:p>
    <w:p w:rsidR="009C1834" w:rsidRPr="009C1834" w:rsidRDefault="009C1834" w:rsidP="009C1834">
      <w:pPr>
        <w:spacing w:after="0" w:line="240" w:lineRule="auto"/>
        <w:jc w:val="lowKashida"/>
        <w:rPr>
          <w:rFonts w:ascii="Times New Roman" w:eastAsia="Times New Roman" w:hAnsi="Times New Roman" w:cs="Simplified Arabic"/>
          <w:sz w:val="28"/>
          <w:szCs w:val="28"/>
        </w:rPr>
      </w:pPr>
    </w:p>
    <w:p w:rsidR="009C1834" w:rsidRPr="009C1834" w:rsidRDefault="009C1834" w:rsidP="009C1834">
      <w:pPr>
        <w:spacing w:after="0" w:line="240" w:lineRule="auto"/>
        <w:jc w:val="center"/>
        <w:rPr>
          <w:rFonts w:ascii="Times New Roman" w:eastAsia="Times New Roman" w:hAnsi="Times New Roman" w:cs="Simplified Arabic"/>
          <w:sz w:val="24"/>
          <w:szCs w:val="24"/>
        </w:rPr>
      </w:pPr>
      <w:r w:rsidRPr="009C1834">
        <w:rPr>
          <w:rFonts w:ascii="Simplified Arabic" w:eastAsia="Times New Roman" w:hAnsi="Simplified Arabic" w:cs="Simplified Arabic"/>
          <w:sz w:val="24"/>
          <w:szCs w:val="24"/>
          <w:rtl/>
        </w:rPr>
        <w:t>" سنة المكتب الفنى "  30 " رقم الصفحة - 859  -  قاعدة رقم –   -  "</w:t>
      </w:r>
    </w:p>
    <w:p w:rsidR="009C1834" w:rsidRPr="009C1834" w:rsidRDefault="009C1834" w:rsidP="009C1834">
      <w:pPr>
        <w:spacing w:after="0" w:line="240" w:lineRule="auto"/>
        <w:jc w:val="lowKashida"/>
        <w:rPr>
          <w:rFonts w:ascii="Simplified Arabic" w:eastAsia="Times New Roman" w:hAnsi="Simplified Arabic" w:cs="Simplified Arabic"/>
          <w:sz w:val="28"/>
          <w:szCs w:val="28"/>
        </w:rPr>
      </w:pPr>
    </w:p>
    <w:p w:rsidR="009C1834" w:rsidRPr="009C1834" w:rsidRDefault="009C1834" w:rsidP="009C1834">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CA"/>
    <w:rsid w:val="0003272B"/>
    <w:rsid w:val="003E5EDE"/>
    <w:rsid w:val="009C1834"/>
    <w:rsid w:val="00BE3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2020-06-03T13:47:00Z</dcterms:created>
  <dcterms:modified xsi:type="dcterms:W3CDTF">2020-06-03T13:47:00Z</dcterms:modified>
</cp:coreProperties>
</file>