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B85" w:rsidRPr="006A6B85" w:rsidRDefault="006A6B85" w:rsidP="006A6B85">
      <w:pPr>
        <w:spacing w:after="0" w:line="240" w:lineRule="auto"/>
        <w:jc w:val="center"/>
        <w:rPr>
          <w:rFonts w:ascii="Times New Roman" w:eastAsia="Times New Roman" w:hAnsi="Times New Roman" w:cs="PT Bold Heading"/>
          <w:b/>
          <w:bCs/>
          <w:color w:val="008000"/>
          <w:sz w:val="32"/>
          <w:szCs w:val="32"/>
          <w:lang w:eastAsia="ar-SA"/>
        </w:rPr>
      </w:pPr>
      <w:r w:rsidRPr="006A6B85">
        <w:rPr>
          <w:rFonts w:ascii="Times New Roman" w:eastAsia="Times New Roman" w:hAnsi="Times New Roman" w:cs="PT Bold Heading" w:hint="cs"/>
          <w:b/>
          <w:bCs/>
          <w:color w:val="008000"/>
          <w:sz w:val="32"/>
          <w:szCs w:val="32"/>
          <w:rtl/>
          <w:lang w:eastAsia="ar-SA"/>
        </w:rPr>
        <w:t>الطعن 78 لسنة 44 ق - جلسة 21-3-1979</w:t>
      </w:r>
    </w:p>
    <w:p w:rsidR="006A6B85" w:rsidRPr="006A6B85" w:rsidRDefault="006A6B85" w:rsidP="006A6B85">
      <w:pPr>
        <w:spacing w:after="0" w:line="240" w:lineRule="auto"/>
        <w:jc w:val="center"/>
        <w:rPr>
          <w:rFonts w:ascii="Times New Roman" w:eastAsia="Times New Roman" w:hAnsi="Times New Roman" w:cs="PT Bold Heading"/>
          <w:b/>
          <w:bCs/>
          <w:color w:val="008000"/>
          <w:sz w:val="32"/>
          <w:szCs w:val="32"/>
          <w:lang w:eastAsia="ar-SA"/>
        </w:rPr>
      </w:pPr>
      <w:r w:rsidRPr="006A6B85">
        <w:rPr>
          <w:rFonts w:ascii="Times New Roman" w:eastAsia="Times New Roman" w:hAnsi="Times New Roman" w:cs="PT Bold Heading" w:hint="cs"/>
          <w:b/>
          <w:bCs/>
          <w:color w:val="008000"/>
          <w:sz w:val="32"/>
          <w:szCs w:val="32"/>
          <w:rtl/>
          <w:lang w:eastAsia="ar-SA"/>
        </w:rPr>
        <w:t>الموضوع ،  و  الموجز :</w:t>
      </w:r>
    </w:p>
    <w:p w:rsidR="006A6B85" w:rsidRPr="006A6B85" w:rsidRDefault="006A6B85" w:rsidP="006A6B85">
      <w:pPr>
        <w:spacing w:after="0" w:line="240" w:lineRule="auto"/>
        <w:jc w:val="lowKashida"/>
        <w:rPr>
          <w:rFonts w:ascii="Times New Roman" w:eastAsia="Times New Roman" w:hAnsi="Times New Roman" w:cs="Simplified Arabic"/>
          <w:b/>
          <w:bCs/>
          <w:sz w:val="32"/>
          <w:szCs w:val="32"/>
        </w:rPr>
      </w:pPr>
    </w:p>
    <w:p w:rsidR="006A6B85" w:rsidRPr="006A6B85" w:rsidRDefault="006A6B85" w:rsidP="006A6B85">
      <w:pPr>
        <w:spacing w:after="0" w:line="240" w:lineRule="auto"/>
        <w:jc w:val="lowKashida"/>
        <w:rPr>
          <w:rFonts w:ascii="Times New Roman" w:eastAsia="Times New Roman" w:hAnsi="Times New Roman" w:cs="Simplified Arabic"/>
          <w:b/>
          <w:bCs/>
          <w:sz w:val="28"/>
          <w:szCs w:val="28"/>
        </w:rPr>
      </w:pPr>
      <w:r w:rsidRPr="006A6B85">
        <w:rPr>
          <w:rFonts w:ascii="Simplified Arabic" w:eastAsia="Times New Roman" w:hAnsi="Simplified Arabic" w:cs="Simplified Arabic"/>
          <w:b/>
          <w:bCs/>
          <w:sz w:val="32"/>
          <w:szCs w:val="32"/>
          <w:rtl/>
        </w:rPr>
        <w:t xml:space="preserve">(1) </w:t>
      </w:r>
      <w:r w:rsidRPr="006A6B85">
        <w:rPr>
          <w:rFonts w:ascii="Simplified Arabic" w:eastAsia="Times New Roman" w:hAnsi="Simplified Arabic" w:cs="Simplified Arabic"/>
          <w:b/>
          <w:bCs/>
          <w:sz w:val="28"/>
          <w:szCs w:val="24"/>
          <w:rtl/>
        </w:rPr>
        <w:t xml:space="preserve">   </w:t>
      </w:r>
      <w:r w:rsidRPr="006A6B85">
        <w:rPr>
          <w:rFonts w:ascii="Simplified Arabic" w:eastAsia="Times New Roman" w:hAnsi="Simplified Arabic" w:cs="Simplified Arabic"/>
          <w:b/>
          <w:bCs/>
          <w:sz w:val="28"/>
          <w:szCs w:val="28"/>
          <w:rtl/>
        </w:rPr>
        <w:t xml:space="preserve"> إعلان </w:t>
      </w:r>
    </w:p>
    <w:p w:rsidR="006A6B85" w:rsidRPr="006A6B85" w:rsidRDefault="006A6B85" w:rsidP="006A6B85">
      <w:pPr>
        <w:spacing w:after="0" w:line="240" w:lineRule="auto"/>
        <w:jc w:val="lowKashida"/>
        <w:rPr>
          <w:rFonts w:ascii="Simplified Arabic" w:eastAsia="Times New Roman" w:hAnsi="Simplified Arabic" w:cs="Simplified Arabic"/>
          <w:sz w:val="28"/>
          <w:szCs w:val="28"/>
        </w:rPr>
      </w:pPr>
      <w:r w:rsidRPr="006A6B85">
        <w:rPr>
          <w:rFonts w:ascii="Times New Roman" w:eastAsia="Times New Roman" w:hAnsi="Times New Roman" w:cs="Simplified Arabic"/>
          <w:sz w:val="28"/>
          <w:szCs w:val="28"/>
        </w:rPr>
        <w:t>-</w:t>
      </w:r>
      <w:r w:rsidRPr="006A6B85">
        <w:rPr>
          <w:rFonts w:ascii="Simplified Arabic" w:eastAsia="Times New Roman" w:hAnsi="Simplified Arabic" w:cs="Simplified Arabic"/>
          <w:sz w:val="28"/>
          <w:szCs w:val="28"/>
          <w:rtl/>
        </w:rPr>
        <w:t xml:space="preserve"> عدم إعلان المستأنف عليه بصحيفة الإستئناف خلال ثلاثة أشهر من تاريخ إيداعها قلم الكتاب حضور المستأنف عليه لا يسقط حقه في التمسك بإعتبار الإستئناف كأن لم </w:t>
      </w:r>
      <w:proofErr w:type="gramStart"/>
      <w:r w:rsidRPr="006A6B85">
        <w:rPr>
          <w:rFonts w:ascii="Simplified Arabic" w:eastAsia="Times New Roman" w:hAnsi="Simplified Arabic" w:cs="Simplified Arabic"/>
          <w:sz w:val="28"/>
          <w:szCs w:val="28"/>
          <w:rtl/>
        </w:rPr>
        <w:t>يكن .</w:t>
      </w:r>
      <w:proofErr w:type="gramEnd"/>
      <w:r w:rsidRPr="006A6B85">
        <w:rPr>
          <w:rFonts w:ascii="Simplified Arabic" w:eastAsia="Times New Roman" w:hAnsi="Simplified Arabic" w:cs="Simplified Arabic"/>
          <w:sz w:val="28"/>
          <w:szCs w:val="28"/>
          <w:rtl/>
        </w:rPr>
        <w:t xml:space="preserve"> علة ذلك</w:t>
      </w:r>
    </w:p>
    <w:p w:rsidR="006A6B85" w:rsidRPr="006A6B85" w:rsidRDefault="006A6B85" w:rsidP="006A6B85">
      <w:pPr>
        <w:spacing w:after="0" w:line="240" w:lineRule="auto"/>
        <w:jc w:val="lowKashida"/>
        <w:rPr>
          <w:rFonts w:ascii="Times New Roman" w:eastAsia="Times New Roman" w:hAnsi="Times New Roman" w:cs="Simplified Arabic"/>
          <w:sz w:val="28"/>
          <w:szCs w:val="28"/>
          <w:rtl/>
        </w:rPr>
      </w:pPr>
    </w:p>
    <w:p w:rsidR="006A6B85" w:rsidRPr="006A6B85" w:rsidRDefault="006A6B85" w:rsidP="006A6B85">
      <w:pPr>
        <w:spacing w:after="0" w:line="240" w:lineRule="auto"/>
        <w:jc w:val="lowKashida"/>
        <w:rPr>
          <w:rFonts w:ascii="Simplified Arabic" w:eastAsia="Times New Roman" w:hAnsi="Simplified Arabic" w:cs="Simplified Arabic"/>
          <w:b/>
          <w:bCs/>
          <w:sz w:val="28"/>
          <w:szCs w:val="24"/>
        </w:rPr>
      </w:pPr>
      <w:r w:rsidRPr="006A6B85">
        <w:rPr>
          <w:rFonts w:ascii="Simplified Arabic" w:eastAsia="Times New Roman" w:hAnsi="Simplified Arabic" w:cs="Simplified Arabic"/>
          <w:b/>
          <w:bCs/>
          <w:sz w:val="32"/>
          <w:szCs w:val="32"/>
          <w:rtl/>
        </w:rPr>
        <w:t xml:space="preserve">(2) </w:t>
      </w:r>
      <w:r w:rsidRPr="006A6B85">
        <w:rPr>
          <w:rFonts w:ascii="Simplified Arabic" w:eastAsia="Times New Roman" w:hAnsi="Simplified Arabic" w:cs="Simplified Arabic"/>
          <w:b/>
          <w:bCs/>
          <w:sz w:val="28"/>
          <w:szCs w:val="24"/>
          <w:rtl/>
        </w:rPr>
        <w:t xml:space="preserve">    </w:t>
      </w:r>
      <w:r w:rsidRPr="006A6B85">
        <w:rPr>
          <w:rFonts w:ascii="Simplified Arabic" w:eastAsia="Times New Roman" w:hAnsi="Simplified Arabic" w:cs="Simplified Arabic"/>
          <w:b/>
          <w:bCs/>
          <w:sz w:val="28"/>
          <w:szCs w:val="28"/>
          <w:rtl/>
        </w:rPr>
        <w:t>إستئناف</w:t>
      </w:r>
      <w:r w:rsidRPr="006A6B85">
        <w:rPr>
          <w:rFonts w:ascii="Simplified Arabic" w:eastAsia="Times New Roman" w:hAnsi="Simplified Arabic" w:cs="Simplified Arabic"/>
          <w:b/>
          <w:bCs/>
          <w:sz w:val="28"/>
          <w:szCs w:val="24"/>
          <w:rtl/>
        </w:rPr>
        <w:t xml:space="preserve"> </w:t>
      </w:r>
    </w:p>
    <w:p w:rsidR="006A6B85" w:rsidRPr="006A6B85" w:rsidRDefault="006A6B85" w:rsidP="006A6B85">
      <w:pPr>
        <w:spacing w:after="0" w:line="240" w:lineRule="auto"/>
        <w:jc w:val="lowKashida"/>
        <w:rPr>
          <w:rFonts w:ascii="Simplified Arabic" w:eastAsia="Times New Roman" w:hAnsi="Simplified Arabic" w:cs="Simplified Arabic"/>
          <w:sz w:val="28"/>
          <w:szCs w:val="28"/>
          <w:rtl/>
        </w:rPr>
      </w:pPr>
      <w:r w:rsidRPr="006A6B85">
        <w:rPr>
          <w:rFonts w:ascii="Times New Roman" w:eastAsia="Times New Roman" w:hAnsi="Times New Roman" w:cs="Simplified Arabic"/>
          <w:sz w:val="28"/>
          <w:szCs w:val="28"/>
        </w:rPr>
        <w:t>-</w:t>
      </w:r>
      <w:r w:rsidRPr="006A6B85">
        <w:rPr>
          <w:rFonts w:ascii="Simplified Arabic" w:eastAsia="Times New Roman" w:hAnsi="Simplified Arabic" w:cs="Simplified Arabic"/>
          <w:sz w:val="28"/>
          <w:szCs w:val="28"/>
          <w:rtl/>
        </w:rPr>
        <w:t xml:space="preserve"> إختصام جميع الورثة فى الاستئناف المرفوع من الخصم النعى بأن أحد الورثة يكفى لتمثيل التركة غير صحيح</w:t>
      </w:r>
    </w:p>
    <w:p w:rsidR="006A6B85" w:rsidRPr="006A6B85" w:rsidRDefault="006A6B85" w:rsidP="006A6B85">
      <w:pPr>
        <w:spacing w:after="0" w:line="240" w:lineRule="auto"/>
        <w:jc w:val="lowKashida"/>
        <w:rPr>
          <w:rFonts w:ascii="Simplified Arabic" w:eastAsia="Times New Roman" w:hAnsi="Simplified Arabic" w:cs="Simplified Arabic"/>
          <w:b/>
          <w:bCs/>
          <w:sz w:val="28"/>
          <w:szCs w:val="24"/>
          <w:rtl/>
        </w:rPr>
      </w:pPr>
    </w:p>
    <w:p w:rsidR="006A6B85" w:rsidRPr="006A6B85" w:rsidRDefault="006A6B85" w:rsidP="006A6B85">
      <w:pPr>
        <w:spacing w:after="0" w:line="240" w:lineRule="auto"/>
        <w:jc w:val="lowKashida"/>
        <w:rPr>
          <w:rFonts w:ascii="Times New Roman" w:eastAsia="Times New Roman" w:hAnsi="Times New Roman" w:cs="Simplified Arabic"/>
          <w:b/>
          <w:bCs/>
          <w:sz w:val="28"/>
          <w:szCs w:val="24"/>
          <w:rtl/>
        </w:rPr>
      </w:pPr>
      <w:r w:rsidRPr="006A6B85">
        <w:rPr>
          <w:rFonts w:ascii="Simplified Arabic" w:eastAsia="Times New Roman" w:hAnsi="Simplified Arabic" w:cs="Simplified Arabic"/>
          <w:b/>
          <w:bCs/>
          <w:sz w:val="32"/>
          <w:szCs w:val="32"/>
          <w:rtl/>
        </w:rPr>
        <w:t xml:space="preserve">(3) </w:t>
      </w:r>
      <w:r w:rsidRPr="006A6B85">
        <w:rPr>
          <w:rFonts w:ascii="Simplified Arabic" w:eastAsia="Times New Roman" w:hAnsi="Simplified Arabic" w:cs="Simplified Arabic"/>
          <w:b/>
          <w:bCs/>
          <w:sz w:val="28"/>
          <w:szCs w:val="24"/>
          <w:rtl/>
        </w:rPr>
        <w:t xml:space="preserve">    </w:t>
      </w:r>
      <w:r w:rsidRPr="006A6B85">
        <w:rPr>
          <w:rFonts w:ascii="Simplified Arabic" w:eastAsia="Times New Roman" w:hAnsi="Simplified Arabic" w:cs="Simplified Arabic"/>
          <w:b/>
          <w:bCs/>
          <w:sz w:val="28"/>
          <w:szCs w:val="28"/>
          <w:rtl/>
        </w:rPr>
        <w:t>إستئناف</w:t>
      </w:r>
      <w:r w:rsidRPr="006A6B85">
        <w:rPr>
          <w:rFonts w:ascii="Simplified Arabic" w:eastAsia="Times New Roman" w:hAnsi="Simplified Arabic" w:cs="Simplified Arabic"/>
          <w:b/>
          <w:bCs/>
          <w:sz w:val="28"/>
          <w:szCs w:val="24"/>
          <w:rtl/>
        </w:rPr>
        <w:t xml:space="preserve"> </w:t>
      </w:r>
    </w:p>
    <w:p w:rsidR="006A6B85" w:rsidRPr="006A6B85" w:rsidRDefault="006A6B85" w:rsidP="006A6B85">
      <w:pPr>
        <w:spacing w:after="0" w:line="240" w:lineRule="auto"/>
        <w:jc w:val="lowKashida"/>
        <w:rPr>
          <w:rFonts w:ascii="Simplified Arabic" w:eastAsia="Times New Roman" w:hAnsi="Simplified Arabic" w:cs="Simplified Arabic"/>
          <w:sz w:val="28"/>
          <w:szCs w:val="28"/>
        </w:rPr>
      </w:pPr>
      <w:r w:rsidRPr="006A6B85">
        <w:rPr>
          <w:rFonts w:ascii="Times New Roman" w:eastAsia="Times New Roman" w:hAnsi="Times New Roman" w:cs="Simplified Arabic"/>
          <w:sz w:val="28"/>
          <w:szCs w:val="28"/>
        </w:rPr>
        <w:t>-</w:t>
      </w:r>
      <w:r w:rsidRPr="006A6B85">
        <w:rPr>
          <w:rFonts w:ascii="Simplified Arabic" w:eastAsia="Times New Roman" w:hAnsi="Simplified Arabic" w:cs="Simplified Arabic"/>
          <w:sz w:val="28"/>
          <w:szCs w:val="28"/>
          <w:rtl/>
        </w:rPr>
        <w:t xml:space="preserve"> الخصومة فيما يتعلق بسقوطها قابليتها للتجزئة عند تعدد المدعي عليهم ما لم يكن موضوعها غير قابل </w:t>
      </w:r>
      <w:proofErr w:type="gramStart"/>
      <w:r w:rsidRPr="006A6B85">
        <w:rPr>
          <w:rFonts w:ascii="Simplified Arabic" w:eastAsia="Times New Roman" w:hAnsi="Simplified Arabic" w:cs="Simplified Arabic"/>
          <w:sz w:val="28"/>
          <w:szCs w:val="28"/>
          <w:rtl/>
        </w:rPr>
        <w:t>للتجزئة .</w:t>
      </w:r>
      <w:proofErr w:type="gramEnd"/>
      <w:r w:rsidRPr="006A6B85">
        <w:rPr>
          <w:rFonts w:ascii="Simplified Arabic" w:eastAsia="Times New Roman" w:hAnsi="Simplified Arabic" w:cs="Simplified Arabic"/>
          <w:sz w:val="28"/>
          <w:szCs w:val="28"/>
          <w:rtl/>
        </w:rPr>
        <w:t xml:space="preserve"> م 136 مرافعات عدم إعلان المستأنف عليهم إعلانا صحيحا خلال سنة من تاريخ آخر إجراء صحيح فى الدعوى . أثره . سقوط الخصومة بالنسبة له .</w:t>
      </w:r>
    </w:p>
    <w:p w:rsidR="006A6B85" w:rsidRPr="006A6B85" w:rsidRDefault="006A6B85" w:rsidP="006A6B85">
      <w:pPr>
        <w:spacing w:after="0" w:line="240" w:lineRule="auto"/>
        <w:jc w:val="lowKashida"/>
        <w:rPr>
          <w:rFonts w:ascii="Times New Roman" w:eastAsia="Times New Roman" w:hAnsi="Times New Roman" w:cs="Simplified Arabic"/>
          <w:b/>
          <w:bCs/>
          <w:sz w:val="28"/>
          <w:szCs w:val="24"/>
          <w:rtl/>
        </w:rPr>
      </w:pPr>
      <w:r w:rsidRPr="006A6B85">
        <w:rPr>
          <w:rFonts w:ascii="Simplified Arabic" w:eastAsia="Times New Roman" w:hAnsi="Simplified Arabic" w:cs="Simplified Arabic"/>
          <w:b/>
          <w:bCs/>
          <w:sz w:val="32"/>
          <w:szCs w:val="32"/>
          <w:rtl/>
        </w:rPr>
        <w:t xml:space="preserve">(4) </w:t>
      </w:r>
      <w:r w:rsidRPr="006A6B85">
        <w:rPr>
          <w:rFonts w:ascii="Simplified Arabic" w:eastAsia="Times New Roman" w:hAnsi="Simplified Arabic" w:cs="Simplified Arabic"/>
          <w:b/>
          <w:bCs/>
          <w:sz w:val="28"/>
          <w:szCs w:val="24"/>
          <w:rtl/>
        </w:rPr>
        <w:t xml:space="preserve">   </w:t>
      </w:r>
      <w:r w:rsidRPr="006A6B85">
        <w:rPr>
          <w:rFonts w:ascii="Simplified Arabic" w:eastAsia="Times New Roman" w:hAnsi="Simplified Arabic" w:cs="Simplified Arabic"/>
          <w:b/>
          <w:bCs/>
          <w:sz w:val="28"/>
          <w:szCs w:val="28"/>
          <w:rtl/>
        </w:rPr>
        <w:t>إستئناف</w:t>
      </w:r>
    </w:p>
    <w:p w:rsidR="006A6B85" w:rsidRPr="006A6B85" w:rsidRDefault="006A6B85" w:rsidP="006A6B85">
      <w:pPr>
        <w:spacing w:after="0" w:line="240" w:lineRule="auto"/>
        <w:jc w:val="lowKashida"/>
        <w:rPr>
          <w:rFonts w:ascii="Times New Roman" w:eastAsia="Times New Roman" w:hAnsi="Times New Roman" w:cs="Simplified Arabic"/>
          <w:sz w:val="28"/>
          <w:szCs w:val="28"/>
        </w:rPr>
      </w:pPr>
      <w:r w:rsidRPr="006A6B85">
        <w:rPr>
          <w:rFonts w:ascii="Times New Roman" w:eastAsia="Times New Roman" w:hAnsi="Times New Roman" w:cs="Simplified Arabic"/>
          <w:sz w:val="28"/>
          <w:szCs w:val="28"/>
        </w:rPr>
        <w:t>-</w:t>
      </w:r>
      <w:r w:rsidRPr="006A6B85">
        <w:rPr>
          <w:rFonts w:ascii="Simplified Arabic" w:eastAsia="Times New Roman" w:hAnsi="Simplified Arabic" w:cs="Simplified Arabic"/>
          <w:sz w:val="28"/>
          <w:szCs w:val="28"/>
          <w:rtl/>
        </w:rPr>
        <w:t xml:space="preserve"> القضاء بسقوط الخصومة قبل جميع المستأنف عليهم رغم قابلية موضوع الدعوى </w:t>
      </w:r>
      <w:proofErr w:type="gramStart"/>
      <w:r w:rsidRPr="006A6B85">
        <w:rPr>
          <w:rFonts w:ascii="Simplified Arabic" w:eastAsia="Times New Roman" w:hAnsi="Simplified Arabic" w:cs="Simplified Arabic"/>
          <w:sz w:val="28"/>
          <w:szCs w:val="28"/>
          <w:rtl/>
        </w:rPr>
        <w:t>للتجزئة .</w:t>
      </w:r>
      <w:proofErr w:type="gramEnd"/>
      <w:r w:rsidRPr="006A6B85">
        <w:rPr>
          <w:rFonts w:ascii="Simplified Arabic" w:eastAsia="Times New Roman" w:hAnsi="Simplified Arabic" w:cs="Simplified Arabic"/>
          <w:sz w:val="28"/>
          <w:szCs w:val="28"/>
          <w:rtl/>
        </w:rPr>
        <w:t xml:space="preserve"> خطأ طالما أن بعض الخصوم قد تم إعلانهم قبل إنقضاء سنة من تاريخ آخر إجراء صحيح فى الدعوى .</w:t>
      </w:r>
    </w:p>
    <w:p w:rsidR="006A6B85" w:rsidRPr="006A6B85" w:rsidRDefault="006A6B85" w:rsidP="006A6B85">
      <w:pPr>
        <w:spacing w:after="0" w:line="240" w:lineRule="auto"/>
        <w:jc w:val="lowKashida"/>
        <w:rPr>
          <w:rFonts w:ascii="Times New Roman" w:eastAsia="Times New Roman" w:hAnsi="Times New Roman" w:cs="Simplified Arabic"/>
          <w:b/>
          <w:bCs/>
          <w:sz w:val="28"/>
          <w:szCs w:val="24"/>
        </w:rPr>
      </w:pPr>
    </w:p>
    <w:p w:rsidR="006A6B85" w:rsidRPr="006A6B85" w:rsidRDefault="006A6B85" w:rsidP="006A6B85">
      <w:pPr>
        <w:spacing w:after="0" w:line="240" w:lineRule="auto"/>
        <w:jc w:val="center"/>
        <w:rPr>
          <w:rFonts w:ascii="Times New Roman" w:eastAsia="Times New Roman" w:hAnsi="Times New Roman" w:cs="PT Bold Heading"/>
          <w:b/>
          <w:bCs/>
          <w:color w:val="008000"/>
          <w:sz w:val="32"/>
          <w:szCs w:val="32"/>
          <w:lang w:eastAsia="ar-SA"/>
        </w:rPr>
      </w:pPr>
      <w:r w:rsidRPr="006A6B85">
        <w:rPr>
          <w:rFonts w:ascii="Times New Roman" w:eastAsia="Times New Roman" w:hAnsi="Times New Roman" w:cs="PT Bold Heading" w:hint="cs"/>
          <w:b/>
          <w:bCs/>
          <w:color w:val="008000"/>
          <w:sz w:val="32"/>
          <w:szCs w:val="32"/>
          <w:rtl/>
          <w:lang w:eastAsia="ar-SA"/>
        </w:rPr>
        <w:t>القاعدة</w:t>
      </w:r>
    </w:p>
    <w:p w:rsidR="006A6B85" w:rsidRPr="006A6B85" w:rsidRDefault="006A6B85" w:rsidP="006A6B85">
      <w:pPr>
        <w:spacing w:after="0" w:line="240" w:lineRule="auto"/>
        <w:jc w:val="lowKashida"/>
        <w:rPr>
          <w:rFonts w:ascii="Times New Roman" w:eastAsia="Times New Roman" w:hAnsi="Times New Roman" w:cs="Simplified Arabic" w:hint="cs"/>
          <w:sz w:val="28"/>
          <w:szCs w:val="28"/>
          <w:rtl/>
        </w:rPr>
      </w:pPr>
      <w:r w:rsidRPr="006A6B85">
        <w:rPr>
          <w:rFonts w:ascii="Simplified Arabic" w:eastAsia="Times New Roman" w:hAnsi="Simplified Arabic" w:cs="Simplified Arabic"/>
          <w:sz w:val="28"/>
          <w:szCs w:val="28"/>
          <w:rtl/>
        </w:rPr>
        <w:t>1- ميعاد الثلاثة أشهر المنصوص عليه القانون عليه فى المادة 70 من قانون المرافعات قبل تعديلها بالقانون 75 لسنة 1976 و التى أحالت إليها المادة 240 من قانون المرافعات - و على ما جرى به قضاء هذه المحكمة ـ هو ميعاد حضور و يترتب على عدم تكليف المستأنف عليه بالحضور خلاله إعتبار الاستئناف كأن لم يكن ، و لا يسقط حضوره - بناء على تكليفه بالحضور بعد فوات هذا الميعاد - حقه فى طلب توقيع الجزاء المنصوص عليه فى هذه المادة ، لأن البطلان الناشئ عن عدم مراعاة المواعيد المقررة لرفع الطعن فى الأحكام و إعلانه لا يزول بحضور المعلن إليه ، كما أن مجرد فوات الميعاد دون إعلان صحيفة الإستئناف للمستأنف عليه يقطع فى عدم تحقق الغاية منه .</w:t>
      </w:r>
    </w:p>
    <w:p w:rsidR="006A6B85" w:rsidRPr="006A6B85" w:rsidRDefault="006A6B85" w:rsidP="006A6B85">
      <w:pPr>
        <w:spacing w:after="0" w:line="240" w:lineRule="auto"/>
        <w:jc w:val="lowKashida"/>
        <w:rPr>
          <w:rFonts w:ascii="Times New Roman" w:eastAsia="Times New Roman" w:hAnsi="Times New Roman" w:cs="Simplified Arabic"/>
          <w:sz w:val="28"/>
          <w:szCs w:val="28"/>
        </w:rPr>
      </w:pPr>
    </w:p>
    <w:p w:rsidR="006A6B85" w:rsidRPr="006A6B85" w:rsidRDefault="006A6B85" w:rsidP="006A6B85">
      <w:pPr>
        <w:spacing w:after="0" w:line="240" w:lineRule="auto"/>
        <w:jc w:val="lowKashida"/>
        <w:rPr>
          <w:rFonts w:ascii="Times New Roman" w:eastAsia="Times New Roman" w:hAnsi="Times New Roman" w:cs="Simplified Arabic"/>
          <w:sz w:val="28"/>
          <w:szCs w:val="28"/>
        </w:rPr>
      </w:pPr>
      <w:r w:rsidRPr="006A6B85">
        <w:rPr>
          <w:rFonts w:ascii="Simplified Arabic" w:eastAsia="Times New Roman" w:hAnsi="Simplified Arabic" w:cs="Simplified Arabic"/>
          <w:sz w:val="28"/>
          <w:szCs w:val="28"/>
          <w:rtl/>
        </w:rPr>
        <w:t>2- المناط فى إنتصاب الوراث خصماً عن باقى الورثة فى الدعاوى التى ترفع من التركة أو عليها بأن يكون الوراث قد خاصم أو خوصم طلباً للحكم للتركة أوعليها بكل الحق أو الدين ، فإذا كان ذلك ، و كان الورثة قد إختصموا جميعاً فى الإستئناف فإن القول بتمثيل واحد منهم للتركة يضحى على غير سند .</w:t>
      </w:r>
    </w:p>
    <w:p w:rsidR="006A6B85" w:rsidRPr="006A6B85" w:rsidRDefault="006A6B85" w:rsidP="006A6B85">
      <w:pPr>
        <w:spacing w:after="0" w:line="240" w:lineRule="auto"/>
        <w:jc w:val="lowKashida"/>
        <w:rPr>
          <w:rFonts w:ascii="Times New Roman" w:eastAsia="Times New Roman" w:hAnsi="Times New Roman" w:cs="Simplified Arabic"/>
          <w:sz w:val="28"/>
          <w:szCs w:val="28"/>
        </w:rPr>
      </w:pPr>
    </w:p>
    <w:p w:rsidR="006A6B85" w:rsidRPr="006A6B85" w:rsidRDefault="006A6B85" w:rsidP="006A6B85">
      <w:pPr>
        <w:spacing w:after="0" w:line="240" w:lineRule="auto"/>
        <w:jc w:val="lowKashida"/>
        <w:rPr>
          <w:rFonts w:ascii="Times New Roman" w:eastAsia="Times New Roman" w:hAnsi="Times New Roman" w:cs="Simplified Arabic"/>
          <w:sz w:val="28"/>
          <w:szCs w:val="28"/>
        </w:rPr>
      </w:pPr>
      <w:r w:rsidRPr="006A6B85">
        <w:rPr>
          <w:rFonts w:ascii="Simplified Arabic" w:eastAsia="Times New Roman" w:hAnsi="Simplified Arabic" w:cs="Simplified Arabic"/>
          <w:sz w:val="28"/>
          <w:szCs w:val="28"/>
          <w:rtl/>
        </w:rPr>
        <w:t>3- المادة 303 من قانون المرافعات السابق قد أوجبت فى فقرتها الثالثة أن يكون تقديم طلب الحكم بسقوط الخصومة أو الدفع به من جميع المدعين أو المستأنفين و إلا كان غير مقبول ، و إذا قدمه أحد الخصوم إستفاد منه الباقون . و قد حذف المشرع  هذه العبارة الأخيرة من الفقرة الثالثة من المادة 136 من قانون المرافعات الحالى المنطبق على واقعة الدعوى و المقابلة للمادة 303 من قانون المرافعات السابق و مفاد حذفها أن الخصومة فيما يتعلق بسقوطها أصبحت قابلة للتجزئة عند تعدد المدعى عليهم ما لم يكن موضوعها غير قابل للتجزئة ، و  إذ كان ذلك ، و كانت الطاعنة قد إختصمت المطعون ضدهم فى الإستئناف المرفوع منها بإعتبارهم ورثة الدائن المحكوم لصالحه بمبلغ من المال و هو ما يجعل الموضوع قابلاً للتجزئة ، و كان الثابت من مدونات الحكم المطعون فيه أنه قضى بإعتبار الإستئناف كأن لم يكن بالنسبة للمطعون ضده الثالث ، و أن المطعون ضده الرابع لم يعلن إعلاناً قانونياً صحيحاً خلال سنة من تاريخ آخر إجراء صحيح من إجراءات التقاضى و هو إنقطاع سير الخصومة الحاصل فى 1971-12-23 ، و لا يمنع حضوره بوكيل عنه بجلسة 1973-1-30 بعد إنقضاء السنة من سقوط الخصومة بالنسبة له ، لأن فوات الميعاد دون إعلانه يقطع فى عدم تحقق الغاية من الإعلان ، فإن الحكم المطعون فيه إذ قضى بسقوط الخصومة بالنسبة له يكون قد إلتزم فى هذا الشق من قضائه صحيح القانون .</w:t>
      </w:r>
    </w:p>
    <w:p w:rsidR="006A6B85" w:rsidRPr="006A6B85" w:rsidRDefault="006A6B85" w:rsidP="006A6B85">
      <w:pPr>
        <w:spacing w:after="0" w:line="240" w:lineRule="auto"/>
        <w:jc w:val="lowKashida"/>
        <w:rPr>
          <w:rFonts w:ascii="Times New Roman" w:eastAsia="Times New Roman" w:hAnsi="Times New Roman" w:cs="Simplified Arabic"/>
          <w:sz w:val="28"/>
          <w:szCs w:val="28"/>
        </w:rPr>
      </w:pPr>
    </w:p>
    <w:p w:rsidR="006A6B85" w:rsidRPr="006A6B85" w:rsidRDefault="006A6B85" w:rsidP="006A6B85">
      <w:pPr>
        <w:spacing w:after="0" w:line="240" w:lineRule="auto"/>
        <w:jc w:val="lowKashida"/>
        <w:rPr>
          <w:rFonts w:ascii="Times New Roman" w:eastAsia="Times New Roman" w:hAnsi="Times New Roman" w:cs="Simplified Arabic"/>
          <w:sz w:val="28"/>
          <w:szCs w:val="28"/>
        </w:rPr>
      </w:pPr>
      <w:r w:rsidRPr="006A6B85">
        <w:rPr>
          <w:rFonts w:ascii="Simplified Arabic" w:eastAsia="Times New Roman" w:hAnsi="Simplified Arabic" w:cs="Simplified Arabic"/>
          <w:sz w:val="28"/>
          <w:szCs w:val="28"/>
          <w:rtl/>
        </w:rPr>
        <w:t>4- الخصومة بالنسبة لإسقاطها قابلة للتجزئة عند تعدد المدعى عليهم ، و إذا كان موضوع الخصومة قابلاً للتجزئة و كان المطعون ضدهما الأول و الثانى قد أعلنا بتعجيل الإستئناف فى 1972-8-1 قبل إنقضاء سنة من تاريخ الحكم بإنقطاع سير الخصومة فإنها لا تكون سقطت بالنسبة لهما ، و إذ قضى الحكم المطعون فيه بسقوطها قبلهما تأسيساً على أن الخصومة بالنسبة لإسقاطها غير قابلة للتجزئة ، فإنه يكون قد خالف القانون و أخطأ فى تطبيقه .</w:t>
      </w:r>
    </w:p>
    <w:p w:rsidR="006A6B85" w:rsidRPr="006A6B85" w:rsidRDefault="006A6B85" w:rsidP="006A6B85">
      <w:pPr>
        <w:spacing w:after="0" w:line="240" w:lineRule="auto"/>
        <w:jc w:val="lowKashida"/>
        <w:rPr>
          <w:rFonts w:ascii="Times New Roman" w:eastAsia="Times New Roman" w:hAnsi="Times New Roman" w:cs="Simplified Arabic"/>
          <w:sz w:val="28"/>
          <w:szCs w:val="28"/>
        </w:rPr>
      </w:pPr>
    </w:p>
    <w:p w:rsidR="006A6B85" w:rsidRPr="006A6B85" w:rsidRDefault="006A6B85" w:rsidP="006A6B85">
      <w:pPr>
        <w:spacing w:after="0" w:line="240" w:lineRule="auto"/>
        <w:jc w:val="center"/>
        <w:rPr>
          <w:rFonts w:ascii="Times New Roman" w:eastAsia="Times New Roman" w:hAnsi="Times New Roman" w:cs="Simplified Arabic"/>
          <w:sz w:val="24"/>
          <w:szCs w:val="24"/>
        </w:rPr>
      </w:pPr>
      <w:r w:rsidRPr="006A6B85">
        <w:rPr>
          <w:rFonts w:ascii="Simplified Arabic" w:eastAsia="Times New Roman" w:hAnsi="Simplified Arabic" w:cs="Simplified Arabic"/>
          <w:sz w:val="24"/>
          <w:szCs w:val="24"/>
          <w:rtl/>
        </w:rPr>
        <w:t>" سنة المكتب الفنى "  30 " رقم الصفحة -   884-  قاعدة رقم –   -  "</w:t>
      </w:r>
    </w:p>
    <w:p w:rsidR="006A6B85" w:rsidRPr="006A6B85" w:rsidRDefault="006A6B85" w:rsidP="006A6B85">
      <w:pPr>
        <w:spacing w:after="0" w:line="240" w:lineRule="auto"/>
        <w:rPr>
          <w:rFonts w:ascii="Times New Roman" w:eastAsia="Times New Roman" w:hAnsi="Times New Roman" w:cs="Times New Roman"/>
          <w:sz w:val="24"/>
          <w:szCs w:val="24"/>
        </w:rPr>
      </w:pPr>
    </w:p>
    <w:p w:rsidR="003E5EDE" w:rsidRPr="006A6B85" w:rsidRDefault="003E5EDE">
      <w:bookmarkStart w:id="0" w:name="_GoBack"/>
      <w:bookmarkEnd w:id="0"/>
    </w:p>
    <w:sectPr w:rsidR="003E5EDE" w:rsidRPr="006A6B8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300"/>
    <w:rsid w:val="0003272B"/>
    <w:rsid w:val="003E5EDE"/>
    <w:rsid w:val="006A6B85"/>
    <w:rsid w:val="008713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07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2872</Characters>
  <Application>Microsoft Office Word</Application>
  <DocSecurity>0</DocSecurity>
  <Lines>23</Lines>
  <Paragraphs>6</Paragraphs>
  <ScaleCrop>false</ScaleCrop>
  <Company/>
  <LinksUpToDate>false</LinksUpToDate>
  <CharactersWithSpaces>3369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2020-06-03T13:47:00Z</dcterms:created>
  <dcterms:modified xsi:type="dcterms:W3CDTF">2020-06-03T13:48:00Z</dcterms:modified>
</cp:coreProperties>
</file>