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FE7" w:rsidRPr="00820FE7" w:rsidRDefault="00820FE7" w:rsidP="00820FE7">
      <w:pPr>
        <w:spacing w:after="0" w:line="240" w:lineRule="auto"/>
        <w:jc w:val="center"/>
        <w:rPr>
          <w:rFonts w:ascii="Times New Roman" w:eastAsia="Times New Roman" w:hAnsi="Times New Roman" w:cs="PT Bold Heading"/>
          <w:b/>
          <w:bCs/>
          <w:color w:val="008000"/>
          <w:sz w:val="32"/>
          <w:szCs w:val="32"/>
          <w:lang w:eastAsia="ar-SA"/>
        </w:rPr>
      </w:pPr>
      <w:r w:rsidRPr="00820FE7">
        <w:rPr>
          <w:rFonts w:ascii="Times New Roman" w:eastAsia="Times New Roman" w:hAnsi="Times New Roman" w:cs="PT Bold Heading" w:hint="cs"/>
          <w:b/>
          <w:bCs/>
          <w:color w:val="008000"/>
          <w:sz w:val="32"/>
          <w:szCs w:val="32"/>
          <w:rtl/>
          <w:lang w:eastAsia="ar-SA"/>
        </w:rPr>
        <w:t xml:space="preserve">الطعن رقم  14 لسنة 46 ق </w:t>
      </w:r>
      <w:r w:rsidRPr="00820FE7">
        <w:rPr>
          <w:rFonts w:ascii="Times New Roman" w:eastAsia="Times New Roman" w:hAnsi="Times New Roman" w:cs="Times New Roman" w:hint="cs"/>
          <w:b/>
          <w:bCs/>
          <w:color w:val="008000"/>
          <w:sz w:val="32"/>
          <w:szCs w:val="32"/>
          <w:rtl/>
          <w:lang w:eastAsia="ar-SA"/>
        </w:rPr>
        <w:t>-</w:t>
      </w:r>
      <w:r w:rsidRPr="00820FE7">
        <w:rPr>
          <w:rFonts w:ascii="Times New Roman" w:eastAsia="Times New Roman" w:hAnsi="Times New Roman" w:cs="PT Bold Heading" w:hint="cs"/>
          <w:b/>
          <w:bCs/>
          <w:color w:val="008000"/>
          <w:sz w:val="32"/>
          <w:szCs w:val="32"/>
          <w:rtl/>
          <w:lang w:eastAsia="ar-SA"/>
        </w:rPr>
        <w:t xml:space="preserve">  جلسة 9-1-1979</w:t>
      </w:r>
    </w:p>
    <w:p w:rsidR="00820FE7" w:rsidRPr="00820FE7" w:rsidRDefault="00820FE7" w:rsidP="00820FE7">
      <w:pPr>
        <w:spacing w:after="0" w:line="240" w:lineRule="auto"/>
        <w:jc w:val="center"/>
        <w:rPr>
          <w:rFonts w:ascii="Times New Roman" w:eastAsia="Times New Roman" w:hAnsi="Times New Roman" w:cs="PT Bold Heading"/>
          <w:b/>
          <w:bCs/>
          <w:color w:val="008000"/>
          <w:sz w:val="32"/>
          <w:szCs w:val="32"/>
          <w:lang w:eastAsia="ar-SA"/>
        </w:rPr>
      </w:pPr>
      <w:r w:rsidRPr="00820FE7">
        <w:rPr>
          <w:rFonts w:ascii="Times New Roman" w:eastAsia="Times New Roman" w:hAnsi="Times New Roman" w:cs="PT Bold Heading" w:hint="cs"/>
          <w:b/>
          <w:bCs/>
          <w:color w:val="008000"/>
          <w:sz w:val="32"/>
          <w:szCs w:val="32"/>
          <w:rtl/>
          <w:lang w:eastAsia="ar-SA"/>
        </w:rPr>
        <w:t>الموضوع ،  و  الموجز :</w:t>
      </w:r>
    </w:p>
    <w:p w:rsidR="00820FE7" w:rsidRPr="00820FE7" w:rsidRDefault="00820FE7" w:rsidP="00820FE7">
      <w:pPr>
        <w:spacing w:after="0" w:line="240" w:lineRule="auto"/>
        <w:jc w:val="lowKashida"/>
        <w:rPr>
          <w:rFonts w:ascii="Times New Roman" w:eastAsia="Times New Roman" w:hAnsi="Times New Roman" w:cs="Simplified Arabic"/>
          <w:b/>
          <w:bCs/>
          <w:sz w:val="32"/>
          <w:szCs w:val="32"/>
        </w:rPr>
      </w:pPr>
    </w:p>
    <w:p w:rsidR="00820FE7" w:rsidRPr="00820FE7" w:rsidRDefault="00820FE7" w:rsidP="00820FE7">
      <w:pPr>
        <w:spacing w:after="0" w:line="240" w:lineRule="auto"/>
        <w:jc w:val="lowKashida"/>
        <w:rPr>
          <w:rFonts w:ascii="Times New Roman" w:eastAsia="Times New Roman" w:hAnsi="Times New Roman" w:cs="Simplified Arabic"/>
          <w:b/>
          <w:bCs/>
          <w:sz w:val="28"/>
          <w:szCs w:val="28"/>
        </w:rPr>
      </w:pPr>
      <w:r w:rsidRPr="00820FE7">
        <w:rPr>
          <w:rFonts w:ascii="Simplified Arabic" w:eastAsia="Times New Roman" w:hAnsi="Simplified Arabic" w:cs="Simplified Arabic"/>
          <w:b/>
          <w:bCs/>
          <w:sz w:val="32"/>
          <w:szCs w:val="32"/>
          <w:rtl/>
        </w:rPr>
        <w:t xml:space="preserve">(1) </w:t>
      </w:r>
      <w:r w:rsidRPr="00820FE7">
        <w:rPr>
          <w:rFonts w:ascii="Simplified Arabic" w:eastAsia="Times New Roman" w:hAnsi="Simplified Arabic" w:cs="Simplified Arabic"/>
          <w:b/>
          <w:bCs/>
          <w:sz w:val="28"/>
          <w:szCs w:val="24"/>
          <w:rtl/>
        </w:rPr>
        <w:t xml:space="preserve">   </w:t>
      </w:r>
      <w:r w:rsidRPr="00820FE7">
        <w:rPr>
          <w:rFonts w:ascii="Simplified Arabic" w:eastAsia="Times New Roman" w:hAnsi="Simplified Arabic" w:cs="Simplified Arabic"/>
          <w:b/>
          <w:bCs/>
          <w:sz w:val="28"/>
          <w:szCs w:val="28"/>
          <w:rtl/>
        </w:rPr>
        <w:t xml:space="preserve"> ضرائب </w:t>
      </w:r>
    </w:p>
    <w:p w:rsidR="00820FE7" w:rsidRPr="00820FE7" w:rsidRDefault="00820FE7" w:rsidP="00820FE7">
      <w:pPr>
        <w:spacing w:after="0" w:line="240" w:lineRule="auto"/>
        <w:jc w:val="lowKashida"/>
        <w:rPr>
          <w:rFonts w:ascii="Times New Roman" w:eastAsia="Times New Roman" w:hAnsi="Times New Roman" w:cs="Simplified Arabic"/>
          <w:sz w:val="28"/>
          <w:szCs w:val="28"/>
        </w:rPr>
      </w:pPr>
      <w:r w:rsidRPr="00820FE7">
        <w:rPr>
          <w:rFonts w:ascii="Times New Roman" w:eastAsia="Times New Roman" w:hAnsi="Times New Roman" w:cs="Simplified Arabic"/>
          <w:sz w:val="28"/>
          <w:szCs w:val="28"/>
        </w:rPr>
        <w:t>-</w:t>
      </w:r>
      <w:r w:rsidRPr="00820FE7">
        <w:rPr>
          <w:rFonts w:ascii="Simplified Arabic" w:eastAsia="Times New Roman" w:hAnsi="Simplified Arabic" w:cs="Simplified Arabic"/>
          <w:sz w:val="28"/>
          <w:szCs w:val="28"/>
          <w:rtl/>
        </w:rPr>
        <w:t xml:space="preserve"> المهن غير </w:t>
      </w:r>
      <w:proofErr w:type="gramStart"/>
      <w:r w:rsidRPr="00820FE7">
        <w:rPr>
          <w:rFonts w:ascii="Simplified Arabic" w:eastAsia="Times New Roman" w:hAnsi="Simplified Arabic" w:cs="Simplified Arabic"/>
          <w:sz w:val="28"/>
          <w:szCs w:val="28"/>
          <w:rtl/>
        </w:rPr>
        <w:t>التجارية .</w:t>
      </w:r>
      <w:proofErr w:type="gramEnd"/>
      <w:r w:rsidRPr="00820FE7">
        <w:rPr>
          <w:rFonts w:ascii="Simplified Arabic" w:eastAsia="Times New Roman" w:hAnsi="Simplified Arabic" w:cs="Simplified Arabic"/>
          <w:sz w:val="28"/>
          <w:szCs w:val="28"/>
          <w:rtl/>
        </w:rPr>
        <w:t xml:space="preserve"> ماهيتها . سريان الضريبة المفروضة عليها علي كل مهنة أو نشاط لا يخضع لضريبة نوعية أخرى . اخضاع الجائزة التشجيعية للمخرج السينمائى لهذه الضريبة استنادا الى اتصالها بنشاطه في الاخراج . لا خطأ .</w:t>
      </w:r>
    </w:p>
    <w:p w:rsidR="00820FE7" w:rsidRPr="00820FE7" w:rsidRDefault="00820FE7" w:rsidP="00820FE7">
      <w:pPr>
        <w:spacing w:after="0" w:line="240" w:lineRule="auto"/>
        <w:jc w:val="lowKashida"/>
        <w:rPr>
          <w:rFonts w:ascii="Simplified Arabic" w:eastAsia="Times New Roman" w:hAnsi="Simplified Arabic" w:cs="Simplified Arabic"/>
          <w:b/>
          <w:bCs/>
          <w:sz w:val="28"/>
          <w:szCs w:val="24"/>
        </w:rPr>
      </w:pPr>
    </w:p>
    <w:p w:rsidR="00820FE7" w:rsidRPr="00820FE7" w:rsidRDefault="00820FE7" w:rsidP="00820FE7">
      <w:pPr>
        <w:spacing w:after="0" w:line="240" w:lineRule="auto"/>
        <w:jc w:val="lowKashida"/>
        <w:rPr>
          <w:rFonts w:ascii="Times New Roman" w:eastAsia="Times New Roman" w:hAnsi="Times New Roman" w:cs="Simplified Arabic"/>
          <w:b/>
          <w:bCs/>
          <w:sz w:val="28"/>
          <w:szCs w:val="24"/>
          <w:rtl/>
        </w:rPr>
      </w:pPr>
    </w:p>
    <w:p w:rsidR="00820FE7" w:rsidRPr="00820FE7" w:rsidRDefault="00820FE7" w:rsidP="00820FE7">
      <w:pPr>
        <w:spacing w:after="0" w:line="240" w:lineRule="auto"/>
        <w:jc w:val="lowKashida"/>
        <w:rPr>
          <w:rFonts w:ascii="Simplified Arabic" w:eastAsia="Times New Roman" w:hAnsi="Simplified Arabic" w:cs="Simplified Arabic"/>
          <w:b/>
          <w:bCs/>
          <w:sz w:val="28"/>
          <w:szCs w:val="28"/>
        </w:rPr>
      </w:pPr>
      <w:r w:rsidRPr="00820FE7">
        <w:rPr>
          <w:rFonts w:ascii="Simplified Arabic" w:eastAsia="Times New Roman" w:hAnsi="Simplified Arabic" w:cs="Simplified Arabic"/>
          <w:b/>
          <w:bCs/>
          <w:sz w:val="32"/>
          <w:szCs w:val="32"/>
          <w:rtl/>
        </w:rPr>
        <w:t xml:space="preserve">(2) </w:t>
      </w:r>
      <w:r w:rsidRPr="00820FE7">
        <w:rPr>
          <w:rFonts w:ascii="Simplified Arabic" w:eastAsia="Times New Roman" w:hAnsi="Simplified Arabic" w:cs="Simplified Arabic"/>
          <w:b/>
          <w:bCs/>
          <w:sz w:val="28"/>
          <w:szCs w:val="24"/>
          <w:rtl/>
        </w:rPr>
        <w:t xml:space="preserve">    </w:t>
      </w:r>
      <w:r w:rsidRPr="00820FE7">
        <w:rPr>
          <w:rFonts w:ascii="Simplified Arabic" w:eastAsia="Times New Roman" w:hAnsi="Simplified Arabic" w:cs="Simplified Arabic"/>
          <w:b/>
          <w:bCs/>
          <w:sz w:val="28"/>
          <w:szCs w:val="28"/>
          <w:rtl/>
        </w:rPr>
        <w:t xml:space="preserve">ضرائب </w:t>
      </w:r>
    </w:p>
    <w:p w:rsidR="00820FE7" w:rsidRPr="00820FE7" w:rsidRDefault="00820FE7" w:rsidP="00820FE7">
      <w:pPr>
        <w:spacing w:after="0" w:line="240" w:lineRule="auto"/>
        <w:jc w:val="lowKashida"/>
        <w:rPr>
          <w:rFonts w:ascii="Simplified Arabic" w:eastAsia="Times New Roman" w:hAnsi="Simplified Arabic" w:cs="Simplified Arabic"/>
          <w:sz w:val="28"/>
          <w:szCs w:val="28"/>
          <w:rtl/>
        </w:rPr>
      </w:pPr>
      <w:r w:rsidRPr="00820FE7">
        <w:rPr>
          <w:rFonts w:ascii="Times New Roman" w:eastAsia="Times New Roman" w:hAnsi="Times New Roman" w:cs="Simplified Arabic"/>
          <w:sz w:val="28"/>
          <w:szCs w:val="28"/>
        </w:rPr>
        <w:t>-</w:t>
      </w:r>
      <w:r w:rsidRPr="00820FE7">
        <w:rPr>
          <w:rFonts w:ascii="Simplified Arabic" w:eastAsia="Times New Roman" w:hAnsi="Simplified Arabic" w:cs="Simplified Arabic"/>
          <w:sz w:val="28"/>
          <w:szCs w:val="28"/>
          <w:rtl/>
        </w:rPr>
        <w:t xml:space="preserve"> اتفاق على اعادة </w:t>
      </w:r>
      <w:proofErr w:type="gramStart"/>
      <w:r w:rsidRPr="00820FE7">
        <w:rPr>
          <w:rFonts w:ascii="Simplified Arabic" w:eastAsia="Times New Roman" w:hAnsi="Simplified Arabic" w:cs="Simplified Arabic"/>
          <w:sz w:val="28"/>
          <w:szCs w:val="28"/>
          <w:rtl/>
        </w:rPr>
        <w:t>المحاسبة .</w:t>
      </w:r>
      <w:proofErr w:type="gramEnd"/>
      <w:r w:rsidRPr="00820FE7">
        <w:rPr>
          <w:rFonts w:ascii="Simplified Arabic" w:eastAsia="Times New Roman" w:hAnsi="Simplified Arabic" w:cs="Simplified Arabic"/>
          <w:sz w:val="28"/>
          <w:szCs w:val="28"/>
          <w:rtl/>
        </w:rPr>
        <w:t xml:space="preserve"> جوازه . مثال</w:t>
      </w:r>
    </w:p>
    <w:p w:rsidR="00820FE7" w:rsidRPr="00820FE7" w:rsidRDefault="00820FE7" w:rsidP="00820FE7">
      <w:pPr>
        <w:spacing w:after="0" w:line="240" w:lineRule="auto"/>
        <w:jc w:val="lowKashida"/>
        <w:rPr>
          <w:rFonts w:ascii="Simplified Arabic" w:eastAsia="Times New Roman" w:hAnsi="Simplified Arabic" w:cs="Simplified Arabic"/>
          <w:b/>
          <w:bCs/>
          <w:sz w:val="28"/>
          <w:szCs w:val="24"/>
          <w:rtl/>
        </w:rPr>
      </w:pPr>
    </w:p>
    <w:p w:rsidR="00820FE7" w:rsidRPr="00820FE7" w:rsidRDefault="00820FE7" w:rsidP="00820FE7">
      <w:pPr>
        <w:spacing w:after="0" w:line="240" w:lineRule="auto"/>
        <w:jc w:val="lowKashida"/>
        <w:rPr>
          <w:rFonts w:ascii="Times New Roman" w:eastAsia="Times New Roman" w:hAnsi="Times New Roman" w:cs="Simplified Arabic"/>
          <w:b/>
          <w:bCs/>
          <w:sz w:val="28"/>
          <w:szCs w:val="24"/>
          <w:rtl/>
        </w:rPr>
      </w:pPr>
      <w:r w:rsidRPr="00820FE7">
        <w:rPr>
          <w:rFonts w:ascii="Simplified Arabic" w:eastAsia="Times New Roman" w:hAnsi="Simplified Arabic" w:cs="Simplified Arabic"/>
          <w:b/>
          <w:bCs/>
          <w:sz w:val="32"/>
          <w:szCs w:val="32"/>
          <w:rtl/>
        </w:rPr>
        <w:t>(3</w:t>
      </w:r>
      <w:r w:rsidRPr="00820FE7">
        <w:rPr>
          <w:rFonts w:ascii="Simplified Arabic" w:eastAsia="Times New Roman" w:hAnsi="Simplified Arabic" w:cs="Simplified Arabic"/>
          <w:b/>
          <w:bCs/>
          <w:sz w:val="28"/>
          <w:szCs w:val="28"/>
          <w:rtl/>
        </w:rPr>
        <w:t>)     تقادم</w:t>
      </w:r>
      <w:r w:rsidRPr="00820FE7">
        <w:rPr>
          <w:rFonts w:ascii="Simplified Arabic" w:eastAsia="Times New Roman" w:hAnsi="Simplified Arabic" w:cs="Simplified Arabic"/>
          <w:b/>
          <w:bCs/>
          <w:sz w:val="28"/>
          <w:szCs w:val="24"/>
          <w:rtl/>
        </w:rPr>
        <w:t xml:space="preserve"> </w:t>
      </w:r>
    </w:p>
    <w:p w:rsidR="00820FE7" w:rsidRPr="00820FE7" w:rsidRDefault="00820FE7" w:rsidP="00820FE7">
      <w:pPr>
        <w:spacing w:after="0" w:line="240" w:lineRule="auto"/>
        <w:jc w:val="lowKashida"/>
        <w:rPr>
          <w:rFonts w:ascii="Times New Roman" w:eastAsia="Times New Roman" w:hAnsi="Times New Roman" w:cs="Simplified Arabic"/>
          <w:sz w:val="28"/>
          <w:szCs w:val="28"/>
        </w:rPr>
      </w:pPr>
      <w:r w:rsidRPr="00820FE7">
        <w:rPr>
          <w:rFonts w:ascii="Times New Roman" w:eastAsia="Times New Roman" w:hAnsi="Times New Roman" w:cs="Simplified Arabic"/>
          <w:sz w:val="28"/>
          <w:szCs w:val="28"/>
        </w:rPr>
        <w:t>-</w:t>
      </w:r>
      <w:r w:rsidRPr="00820FE7">
        <w:rPr>
          <w:rFonts w:ascii="Simplified Arabic" w:eastAsia="Times New Roman" w:hAnsi="Simplified Arabic" w:cs="Simplified Arabic"/>
          <w:sz w:val="28"/>
          <w:szCs w:val="28"/>
          <w:rtl/>
        </w:rPr>
        <w:t xml:space="preserve"> اتفاق المدين بعدم تمسكه بالتقادم قبل انقضاء مدته اتفاق </w:t>
      </w:r>
      <w:proofErr w:type="gramStart"/>
      <w:r w:rsidRPr="00820FE7">
        <w:rPr>
          <w:rFonts w:ascii="Simplified Arabic" w:eastAsia="Times New Roman" w:hAnsi="Simplified Arabic" w:cs="Simplified Arabic"/>
          <w:sz w:val="28"/>
          <w:szCs w:val="28"/>
          <w:rtl/>
        </w:rPr>
        <w:t>باطل .</w:t>
      </w:r>
      <w:proofErr w:type="gramEnd"/>
    </w:p>
    <w:p w:rsidR="00820FE7" w:rsidRPr="00820FE7" w:rsidRDefault="00820FE7" w:rsidP="00820FE7">
      <w:pPr>
        <w:spacing w:after="0" w:line="240" w:lineRule="auto"/>
        <w:jc w:val="lowKashida"/>
        <w:rPr>
          <w:rFonts w:ascii="Simplified Arabic" w:eastAsia="Times New Roman" w:hAnsi="Simplified Arabic" w:cs="Simplified Arabic"/>
          <w:b/>
          <w:bCs/>
          <w:sz w:val="28"/>
          <w:szCs w:val="24"/>
        </w:rPr>
      </w:pPr>
    </w:p>
    <w:p w:rsidR="00820FE7" w:rsidRPr="00820FE7" w:rsidRDefault="00820FE7" w:rsidP="00820FE7">
      <w:pPr>
        <w:spacing w:after="0" w:line="240" w:lineRule="auto"/>
        <w:jc w:val="center"/>
        <w:rPr>
          <w:rFonts w:ascii="Times New Roman" w:eastAsia="Times New Roman" w:hAnsi="Times New Roman" w:cs="PT Bold Heading"/>
          <w:b/>
          <w:bCs/>
          <w:color w:val="008000"/>
          <w:sz w:val="32"/>
          <w:szCs w:val="32"/>
          <w:rtl/>
          <w:lang w:eastAsia="ar-SA"/>
        </w:rPr>
      </w:pPr>
      <w:r w:rsidRPr="00820FE7">
        <w:rPr>
          <w:rFonts w:ascii="Times New Roman" w:eastAsia="Times New Roman" w:hAnsi="Times New Roman" w:cs="PT Bold Heading" w:hint="cs"/>
          <w:b/>
          <w:bCs/>
          <w:color w:val="008000"/>
          <w:sz w:val="32"/>
          <w:szCs w:val="32"/>
          <w:rtl/>
          <w:lang w:eastAsia="ar-SA"/>
        </w:rPr>
        <w:t>القاعدة</w:t>
      </w:r>
    </w:p>
    <w:p w:rsidR="00820FE7" w:rsidRPr="00820FE7" w:rsidRDefault="00820FE7" w:rsidP="00820FE7">
      <w:pPr>
        <w:spacing w:after="0" w:line="240" w:lineRule="auto"/>
        <w:jc w:val="lowKashida"/>
        <w:rPr>
          <w:rFonts w:ascii="Times New Roman" w:eastAsia="Times New Roman" w:hAnsi="Times New Roman" w:cs="Simplified Arabic" w:hint="cs"/>
          <w:sz w:val="28"/>
          <w:szCs w:val="28"/>
          <w:rtl/>
        </w:rPr>
      </w:pPr>
    </w:p>
    <w:p w:rsidR="00820FE7" w:rsidRPr="00820FE7" w:rsidRDefault="00820FE7" w:rsidP="00820FE7">
      <w:pPr>
        <w:spacing w:after="0" w:line="240" w:lineRule="auto"/>
        <w:jc w:val="lowKashida"/>
        <w:rPr>
          <w:rFonts w:ascii="Times New Roman" w:eastAsia="Times New Roman" w:hAnsi="Times New Roman" w:cs="Simplified Arabic"/>
          <w:sz w:val="28"/>
          <w:szCs w:val="28"/>
        </w:rPr>
      </w:pPr>
      <w:r w:rsidRPr="00820FE7">
        <w:rPr>
          <w:rFonts w:ascii="Simplified Arabic" w:eastAsia="Times New Roman" w:hAnsi="Simplified Arabic" w:cs="Simplified Arabic"/>
          <w:sz w:val="28"/>
          <w:szCs w:val="28"/>
          <w:rtl/>
        </w:rPr>
        <w:t>1- النص فى المادة 1-72 من القانون رقم 14 لسنة 1939 المعدل بالقانون 199 لسنة 1960 يدل على أن المهن غير التجارية بحسب المتعارف عليه فى فقه القانون هى - و على ما جرى به قضاء هذه المحكمة - المهن التى يباشرها الممولون بصفة مستقلة و التى يكون العنصر الأساسى فيها العمل و تقوم على الممارسة الشخصية لبعض العلوم و الفنون و إن الأرباح الخاضعة للضريبة هى التى تتصل بالنشاط المهنى للممول إتصال السبب بالمسبب و لو تحقق الربح بصفة عرضية و أن ضريبة الأرباح غير التجارية هى ضريبة القانون العام و من ثم فهى تسرى على كل مهنة أو نشاط  لا يخضع لضريبة أخرى من الضرائب النوعية ما دام لم يعف بنص القانون . و إذ كان ذلك و كان الحكم المطعون فيه قد أقام قضاءة بإخضاع الجائزة التشجيعية التى حصل عليها الطاعن من إخراج أحد الأفلام السينمائية لضريبة الأرباح غير التجارية على ما حصله بموجب سلطته التقديرية من أنها متصلة بنشاطه المهنى فى الإخراج السينمائى فإنه يكون قد طبق القانون تطبيقاً صحيحاً .</w:t>
      </w:r>
    </w:p>
    <w:p w:rsidR="00820FE7" w:rsidRPr="00820FE7" w:rsidRDefault="00820FE7" w:rsidP="00820FE7">
      <w:pPr>
        <w:spacing w:after="0" w:line="240" w:lineRule="auto"/>
        <w:jc w:val="lowKashida"/>
        <w:rPr>
          <w:rFonts w:ascii="Times New Roman" w:eastAsia="Times New Roman" w:hAnsi="Times New Roman" w:cs="Simplified Arabic"/>
          <w:sz w:val="28"/>
          <w:szCs w:val="28"/>
        </w:rPr>
      </w:pPr>
      <w:r w:rsidRPr="00820FE7">
        <w:rPr>
          <w:rFonts w:ascii="Simplified Arabic" w:eastAsia="Times New Roman" w:hAnsi="Simplified Arabic" w:cs="Simplified Arabic"/>
          <w:sz w:val="28"/>
          <w:szCs w:val="28"/>
          <w:rtl/>
        </w:rPr>
        <w:t xml:space="preserve"> </w:t>
      </w:r>
    </w:p>
    <w:p w:rsidR="00820FE7" w:rsidRPr="00820FE7" w:rsidRDefault="00820FE7" w:rsidP="00820FE7">
      <w:pPr>
        <w:spacing w:after="0" w:line="240" w:lineRule="auto"/>
        <w:jc w:val="lowKashida"/>
        <w:rPr>
          <w:rFonts w:ascii="Times New Roman" w:eastAsia="Times New Roman" w:hAnsi="Times New Roman" w:cs="Simplified Arabic"/>
          <w:sz w:val="28"/>
          <w:szCs w:val="28"/>
        </w:rPr>
      </w:pPr>
      <w:r w:rsidRPr="00820FE7">
        <w:rPr>
          <w:rFonts w:ascii="Simplified Arabic" w:eastAsia="Times New Roman" w:hAnsi="Simplified Arabic" w:cs="Simplified Arabic"/>
          <w:sz w:val="28"/>
          <w:szCs w:val="28"/>
          <w:rtl/>
        </w:rPr>
        <w:lastRenderedPageBreak/>
        <w:t>2- إتفاق مصلحة الضرائب مع الممول على إعادة محاسبته عن أحد العناصر الخاصعة للضريبة لا يعتبر مخالفاً للنظام العام للقانون .</w:t>
      </w:r>
    </w:p>
    <w:p w:rsidR="00820FE7" w:rsidRPr="00820FE7" w:rsidRDefault="00820FE7" w:rsidP="00820FE7">
      <w:pPr>
        <w:spacing w:after="0" w:line="240" w:lineRule="auto"/>
        <w:jc w:val="lowKashida"/>
        <w:rPr>
          <w:rFonts w:ascii="Times New Roman" w:eastAsia="Times New Roman" w:hAnsi="Times New Roman" w:cs="Simplified Arabic"/>
          <w:sz w:val="28"/>
          <w:szCs w:val="28"/>
        </w:rPr>
      </w:pPr>
    </w:p>
    <w:p w:rsidR="00820FE7" w:rsidRPr="00820FE7" w:rsidRDefault="00820FE7" w:rsidP="00820FE7">
      <w:pPr>
        <w:spacing w:after="0" w:line="240" w:lineRule="auto"/>
        <w:jc w:val="lowKashida"/>
        <w:rPr>
          <w:rFonts w:ascii="Times New Roman" w:eastAsia="Times New Roman" w:hAnsi="Times New Roman" w:cs="Simplified Arabic"/>
          <w:sz w:val="28"/>
          <w:szCs w:val="28"/>
        </w:rPr>
      </w:pPr>
      <w:r w:rsidRPr="00820FE7">
        <w:rPr>
          <w:rFonts w:ascii="Simplified Arabic" w:eastAsia="Times New Roman" w:hAnsi="Simplified Arabic" w:cs="Simplified Arabic"/>
          <w:sz w:val="28"/>
          <w:szCs w:val="28"/>
          <w:rtl/>
        </w:rPr>
        <w:t>3- النص فى الفقرة الأولى من المادة 388 من القانون المدنى على أنه " لا يجوز النزول عن التقادم قبل ثبوت الحق فيه " يدل على أن كل إتفاق يتعهد بمقتضاه المدين بعدم التمسك بالتقادم يقع باطلاً متى تم هذا الإتفاق قبل إنقضاء مدته و إنه يجوز ترك مبدأ سريان التقادم لإتفاق يعقد بين الدائن و المدين .</w:t>
      </w:r>
    </w:p>
    <w:p w:rsidR="00820FE7" w:rsidRPr="00820FE7" w:rsidRDefault="00820FE7" w:rsidP="00820FE7">
      <w:pPr>
        <w:spacing w:after="0" w:line="240" w:lineRule="auto"/>
        <w:jc w:val="lowKashida"/>
        <w:rPr>
          <w:rFonts w:ascii="Times New Roman" w:eastAsia="Times New Roman" w:hAnsi="Times New Roman" w:cs="Simplified Arabic"/>
          <w:sz w:val="28"/>
          <w:szCs w:val="28"/>
        </w:rPr>
      </w:pPr>
    </w:p>
    <w:p w:rsidR="00820FE7" w:rsidRPr="00820FE7" w:rsidRDefault="00820FE7" w:rsidP="00820FE7">
      <w:pPr>
        <w:spacing w:after="0" w:line="240" w:lineRule="auto"/>
        <w:jc w:val="center"/>
        <w:rPr>
          <w:rFonts w:ascii="Times New Roman" w:eastAsia="Times New Roman" w:hAnsi="Times New Roman" w:cs="Simplified Arabic"/>
          <w:sz w:val="24"/>
          <w:szCs w:val="24"/>
        </w:rPr>
      </w:pPr>
      <w:r w:rsidRPr="00820FE7">
        <w:rPr>
          <w:rFonts w:ascii="Simplified Arabic" w:eastAsia="Times New Roman" w:hAnsi="Simplified Arabic" w:cs="Simplified Arabic"/>
          <w:sz w:val="24"/>
          <w:szCs w:val="24"/>
          <w:rtl/>
        </w:rPr>
        <w:t>" سنة المكتب الفنى "  30 " رقم الصفحة -  137 -  قاعدة رقم –   -  "</w:t>
      </w:r>
    </w:p>
    <w:p w:rsidR="00820FE7" w:rsidRPr="00820FE7" w:rsidRDefault="00820FE7" w:rsidP="00820FE7">
      <w:pPr>
        <w:spacing w:after="0" w:line="240" w:lineRule="auto"/>
        <w:rPr>
          <w:rFonts w:ascii="Times New Roman" w:eastAsia="Times New Roman" w:hAnsi="Times New Roman" w:cs="Times New Roman"/>
          <w:sz w:val="24"/>
          <w:szCs w:val="24"/>
        </w:rPr>
      </w:pPr>
    </w:p>
    <w:p w:rsidR="00B25D88" w:rsidRPr="00820FE7" w:rsidRDefault="00B25D88">
      <w:bookmarkStart w:id="0" w:name="_GoBack"/>
      <w:bookmarkEnd w:id="0"/>
    </w:p>
    <w:sectPr w:rsidR="00B25D88" w:rsidRPr="00820FE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E43"/>
    <w:rsid w:val="0003272B"/>
    <w:rsid w:val="00820FE7"/>
    <w:rsid w:val="00B25D88"/>
    <w:rsid w:val="00FA0E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0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2020-06-03T13:06:00Z</dcterms:created>
  <dcterms:modified xsi:type="dcterms:W3CDTF">2020-06-03T13:06:00Z</dcterms:modified>
</cp:coreProperties>
</file>