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DEF" w:rsidRPr="00EC4DEF" w:rsidRDefault="00EC4DEF" w:rsidP="00EC4DEF">
      <w:pPr>
        <w:spacing w:after="0" w:line="240" w:lineRule="auto"/>
        <w:jc w:val="center"/>
        <w:rPr>
          <w:rFonts w:ascii="Times New Roman" w:eastAsia="Times New Roman" w:hAnsi="Times New Roman" w:cs="PT Bold Heading"/>
          <w:b/>
          <w:bCs/>
          <w:color w:val="008000"/>
          <w:sz w:val="32"/>
          <w:szCs w:val="32"/>
          <w:lang w:eastAsia="ar-SA"/>
        </w:rPr>
      </w:pPr>
      <w:r w:rsidRPr="00EC4DEF">
        <w:rPr>
          <w:rFonts w:ascii="Times New Roman" w:eastAsia="Times New Roman" w:hAnsi="Times New Roman" w:cs="PT Bold Heading" w:hint="cs"/>
          <w:b/>
          <w:bCs/>
          <w:color w:val="008000"/>
          <w:sz w:val="32"/>
          <w:szCs w:val="32"/>
          <w:rtl/>
          <w:lang w:eastAsia="ar-SA"/>
        </w:rPr>
        <w:t xml:space="preserve">الطعن رقم 2 لسنة 48 ق </w:t>
      </w:r>
      <w:r w:rsidRPr="00EC4DEF">
        <w:rPr>
          <w:rFonts w:ascii="Times New Roman" w:eastAsia="Times New Roman" w:hAnsi="Times New Roman" w:cs="Times New Roman" w:hint="cs"/>
          <w:b/>
          <w:bCs/>
          <w:color w:val="008000"/>
          <w:sz w:val="32"/>
          <w:szCs w:val="32"/>
          <w:rtl/>
          <w:lang w:eastAsia="ar-SA"/>
        </w:rPr>
        <w:t>-</w:t>
      </w:r>
      <w:r w:rsidRPr="00EC4DEF">
        <w:rPr>
          <w:rFonts w:ascii="Times New Roman" w:eastAsia="Times New Roman" w:hAnsi="Times New Roman" w:cs="PT Bold Heading" w:hint="cs"/>
          <w:b/>
          <w:bCs/>
          <w:color w:val="008000"/>
          <w:sz w:val="32"/>
          <w:szCs w:val="32"/>
          <w:rtl/>
          <w:lang w:eastAsia="ar-SA"/>
        </w:rPr>
        <w:t xml:space="preserve"> جلسة 31-1-1979</w:t>
      </w:r>
    </w:p>
    <w:p w:rsidR="00EC4DEF" w:rsidRPr="00EC4DEF" w:rsidRDefault="00EC4DEF" w:rsidP="00EC4DEF">
      <w:pPr>
        <w:spacing w:after="0" w:line="240" w:lineRule="auto"/>
        <w:jc w:val="center"/>
        <w:rPr>
          <w:rFonts w:ascii="Times New Roman" w:eastAsia="Times New Roman" w:hAnsi="Times New Roman" w:cs="PT Bold Heading"/>
          <w:b/>
          <w:bCs/>
          <w:color w:val="008000"/>
          <w:sz w:val="32"/>
          <w:szCs w:val="32"/>
          <w:lang w:eastAsia="ar-SA"/>
        </w:rPr>
      </w:pPr>
      <w:r w:rsidRPr="00EC4DEF">
        <w:rPr>
          <w:rFonts w:ascii="Times New Roman" w:eastAsia="Times New Roman" w:hAnsi="Times New Roman" w:cs="PT Bold Heading" w:hint="cs"/>
          <w:b/>
          <w:bCs/>
          <w:color w:val="008000"/>
          <w:sz w:val="32"/>
          <w:szCs w:val="32"/>
          <w:rtl/>
          <w:lang w:eastAsia="ar-SA"/>
        </w:rPr>
        <w:t>الموضوع ،  و  الموجز :</w:t>
      </w:r>
    </w:p>
    <w:p w:rsidR="00EC4DEF" w:rsidRPr="00EC4DEF" w:rsidRDefault="00EC4DEF" w:rsidP="00EC4DEF">
      <w:pPr>
        <w:spacing w:after="0" w:line="240" w:lineRule="auto"/>
        <w:jc w:val="lowKashida"/>
        <w:rPr>
          <w:rFonts w:ascii="Times New Roman" w:eastAsia="Times New Roman" w:hAnsi="Times New Roman" w:cs="Simplified Arabic"/>
          <w:b/>
          <w:bCs/>
          <w:sz w:val="32"/>
          <w:szCs w:val="32"/>
        </w:rPr>
      </w:pPr>
    </w:p>
    <w:p w:rsidR="00EC4DEF" w:rsidRPr="00EC4DEF" w:rsidRDefault="00EC4DEF" w:rsidP="00EC4DEF">
      <w:pPr>
        <w:spacing w:after="0" w:line="240" w:lineRule="auto"/>
        <w:jc w:val="lowKashida"/>
        <w:rPr>
          <w:rFonts w:ascii="Times New Roman" w:eastAsia="Times New Roman" w:hAnsi="Times New Roman" w:cs="Simplified Arabic"/>
          <w:b/>
          <w:bCs/>
          <w:sz w:val="28"/>
          <w:szCs w:val="28"/>
        </w:rPr>
      </w:pPr>
      <w:r w:rsidRPr="00EC4DEF">
        <w:rPr>
          <w:rFonts w:ascii="Simplified Arabic" w:eastAsia="Times New Roman" w:hAnsi="Simplified Arabic" w:cs="Simplified Arabic"/>
          <w:b/>
          <w:bCs/>
          <w:sz w:val="32"/>
          <w:szCs w:val="32"/>
          <w:rtl/>
        </w:rPr>
        <w:t xml:space="preserve">(1) </w:t>
      </w:r>
      <w:r w:rsidRPr="00EC4DEF">
        <w:rPr>
          <w:rFonts w:ascii="Simplified Arabic" w:eastAsia="Times New Roman" w:hAnsi="Simplified Arabic" w:cs="Simplified Arabic"/>
          <w:b/>
          <w:bCs/>
          <w:sz w:val="28"/>
          <w:szCs w:val="24"/>
          <w:rtl/>
        </w:rPr>
        <w:t xml:space="preserve">   </w:t>
      </w:r>
      <w:r w:rsidRPr="00EC4DEF">
        <w:rPr>
          <w:rFonts w:ascii="Simplified Arabic" w:eastAsia="Times New Roman" w:hAnsi="Simplified Arabic" w:cs="Simplified Arabic"/>
          <w:b/>
          <w:bCs/>
          <w:sz w:val="28"/>
          <w:szCs w:val="28"/>
          <w:rtl/>
        </w:rPr>
        <w:t xml:space="preserve">أحوال شخصية </w:t>
      </w:r>
    </w:p>
    <w:p w:rsidR="00EC4DEF" w:rsidRPr="00EC4DEF" w:rsidRDefault="00EC4DEF" w:rsidP="00EC4DEF">
      <w:pPr>
        <w:spacing w:after="0" w:line="240" w:lineRule="auto"/>
        <w:jc w:val="lowKashida"/>
        <w:rPr>
          <w:rFonts w:ascii="Times New Roman" w:eastAsia="Times New Roman" w:hAnsi="Times New Roman" w:cs="Simplified Arabic"/>
          <w:sz w:val="28"/>
          <w:szCs w:val="28"/>
        </w:rPr>
      </w:pPr>
      <w:r w:rsidRPr="00EC4DEF">
        <w:rPr>
          <w:rFonts w:ascii="Times New Roman" w:eastAsia="Times New Roman" w:hAnsi="Times New Roman" w:cs="Simplified Arabic"/>
          <w:sz w:val="28"/>
          <w:szCs w:val="28"/>
        </w:rPr>
        <w:t>-</w:t>
      </w:r>
      <w:r w:rsidRPr="00EC4DEF">
        <w:rPr>
          <w:rFonts w:ascii="Simplified Arabic" w:eastAsia="Times New Roman" w:hAnsi="Simplified Arabic" w:cs="Simplified Arabic"/>
          <w:sz w:val="28"/>
          <w:szCs w:val="28"/>
          <w:rtl/>
        </w:rPr>
        <w:t xml:space="preserve"> الطعن بالنقض في مسائل الأحوال الشخصية وجوب إيداع الصورة الرسمية أو المعلنة من الحكم المطعون فيه خلال ميعاد </w:t>
      </w:r>
      <w:proofErr w:type="gramStart"/>
      <w:r w:rsidRPr="00EC4DEF">
        <w:rPr>
          <w:rFonts w:ascii="Simplified Arabic" w:eastAsia="Times New Roman" w:hAnsi="Simplified Arabic" w:cs="Simplified Arabic"/>
          <w:sz w:val="28"/>
          <w:szCs w:val="28"/>
          <w:rtl/>
        </w:rPr>
        <w:t>الطعن .</w:t>
      </w:r>
      <w:proofErr w:type="gramEnd"/>
      <w:r w:rsidRPr="00EC4DEF">
        <w:rPr>
          <w:rFonts w:ascii="Simplified Arabic" w:eastAsia="Times New Roman" w:hAnsi="Simplified Arabic" w:cs="Simplified Arabic"/>
          <w:sz w:val="28"/>
          <w:szCs w:val="28"/>
          <w:rtl/>
        </w:rPr>
        <w:t xml:space="preserve"> إغفال ذلك . أثره . بطلان الطعن . لا يغني عن ذلك تقديم صورة رسمية من محضر الجلسة المتضمنة منطوق الحكم</w:t>
      </w:r>
    </w:p>
    <w:p w:rsidR="00EC4DEF" w:rsidRPr="00EC4DEF" w:rsidRDefault="00EC4DEF" w:rsidP="00EC4DEF">
      <w:pPr>
        <w:spacing w:after="0" w:line="240" w:lineRule="auto"/>
        <w:jc w:val="lowKashida"/>
        <w:rPr>
          <w:rFonts w:ascii="Times New Roman" w:eastAsia="Times New Roman" w:hAnsi="Times New Roman" w:cs="Simplified Arabic"/>
          <w:b/>
          <w:bCs/>
          <w:sz w:val="28"/>
          <w:szCs w:val="24"/>
        </w:rPr>
      </w:pPr>
    </w:p>
    <w:p w:rsidR="00EC4DEF" w:rsidRPr="00EC4DEF" w:rsidRDefault="00EC4DEF" w:rsidP="00EC4DEF">
      <w:pPr>
        <w:spacing w:after="0" w:line="240" w:lineRule="auto"/>
        <w:jc w:val="lowKashida"/>
        <w:rPr>
          <w:rFonts w:ascii="Simplified Arabic" w:eastAsia="Times New Roman" w:hAnsi="Simplified Arabic" w:cs="Simplified Arabic"/>
          <w:b/>
          <w:bCs/>
          <w:sz w:val="28"/>
          <w:szCs w:val="24"/>
        </w:rPr>
      </w:pPr>
    </w:p>
    <w:p w:rsidR="00EC4DEF" w:rsidRPr="00EC4DEF" w:rsidRDefault="00EC4DEF" w:rsidP="00EC4DEF">
      <w:pPr>
        <w:spacing w:after="0" w:line="240" w:lineRule="auto"/>
        <w:jc w:val="lowKashida"/>
        <w:rPr>
          <w:rFonts w:ascii="Simplified Arabic" w:eastAsia="Times New Roman" w:hAnsi="Simplified Arabic" w:cs="Simplified Arabic"/>
          <w:b/>
          <w:bCs/>
          <w:sz w:val="28"/>
          <w:szCs w:val="24"/>
          <w:rtl/>
        </w:rPr>
      </w:pPr>
    </w:p>
    <w:p w:rsidR="00EC4DEF" w:rsidRPr="00EC4DEF" w:rsidRDefault="00EC4DEF" w:rsidP="00EC4DEF">
      <w:pPr>
        <w:spacing w:after="0" w:line="240" w:lineRule="auto"/>
        <w:jc w:val="center"/>
        <w:rPr>
          <w:rFonts w:ascii="Times New Roman" w:eastAsia="Times New Roman" w:hAnsi="Times New Roman" w:cs="PT Bold Heading"/>
          <w:b/>
          <w:bCs/>
          <w:color w:val="008000"/>
          <w:sz w:val="32"/>
          <w:szCs w:val="32"/>
          <w:rtl/>
          <w:lang w:eastAsia="ar-SA"/>
        </w:rPr>
      </w:pPr>
      <w:r w:rsidRPr="00EC4DEF">
        <w:rPr>
          <w:rFonts w:ascii="Times New Roman" w:eastAsia="Times New Roman" w:hAnsi="Times New Roman" w:cs="PT Bold Heading" w:hint="cs"/>
          <w:b/>
          <w:bCs/>
          <w:color w:val="008000"/>
          <w:sz w:val="32"/>
          <w:szCs w:val="32"/>
          <w:rtl/>
          <w:lang w:eastAsia="ar-SA"/>
        </w:rPr>
        <w:t>القاعدة</w:t>
      </w:r>
    </w:p>
    <w:p w:rsidR="00EC4DEF" w:rsidRPr="00EC4DEF" w:rsidRDefault="00EC4DEF" w:rsidP="00EC4DEF">
      <w:pPr>
        <w:spacing w:after="0" w:line="240" w:lineRule="auto"/>
        <w:jc w:val="lowKashida"/>
        <w:rPr>
          <w:rFonts w:ascii="Times New Roman" w:eastAsia="Times New Roman" w:hAnsi="Times New Roman" w:cs="Simplified Arabic"/>
          <w:sz w:val="28"/>
          <w:szCs w:val="28"/>
        </w:rPr>
      </w:pPr>
      <w:r w:rsidRPr="00EC4DEF">
        <w:rPr>
          <w:rFonts w:ascii="Times New Roman" w:eastAsia="Times New Roman" w:hAnsi="Times New Roman" w:cs="Simplified Arabic"/>
          <w:sz w:val="28"/>
          <w:szCs w:val="28"/>
        </w:rPr>
        <w:t>1-</w:t>
      </w:r>
      <w:r w:rsidRPr="00EC4DEF">
        <w:rPr>
          <w:rFonts w:ascii="Simplified Arabic" w:eastAsia="Times New Roman" w:hAnsi="Simplified Arabic" w:cs="Simplified Arabic"/>
          <w:sz w:val="28"/>
          <w:szCs w:val="28"/>
          <w:rtl/>
        </w:rPr>
        <w:t xml:space="preserve"> المقرر فى قضاء هذه المحكمة أنه يتعين على من يطعن بطريق النقض فى الأحكام المتعلقة بمسائل الأحوال الشخصية أن يودع قلم كتاب محكمة النقض خلال ميعاد الطعن صورة مطابقة لأصله أو الصورة المعلنه من هذا الحكم إن كانت قد أعلنت ، و صورة من الحكم الإبتدائى إذا كان الحكم المطعون فيه قد أحال إليه فى أسبابه ، و هو إجراء جوهرى يترتب على إغفاله بطلان الطعن ، و لما كان الثابت من محضر الإيداع أن الطاعن لم يودع مع تقرير الطعن صورة الحكم المطعون فيه ، فإن الطعن يكون باطلاً عملاً بالفقرة الثانية من المادة 881 من الكتاب الرابع من قانون المرافعات رقم 77 لسنة 1941 - و الذى أبقى عليه قانون المرافعات القائم - و المادة 255 من قانون المرافعات الحالى معدلة بالقانون رقم 13 لسنة 1973 . لما كان ذلك ، و كان لا يغنى عن تقديم صورة الحكم المطعون فيه صورة من محضر الجلسة التى تضمنت منطوق الحكم آنف البيان و أن سبب النعى أنصب فى حقيقة الواقع على ما يقضى به الحكم من اعتبار الإستئناف كأن لم يكن ، لأن محضر الجلسة لا يعدو أن يكون دليلاً يساند ما يذهب إليه الطاعن فى طعنه ، يقدمه تقديراً منه لمصلحته فى إيداع ما يراه من أدلة تؤيده بغير إلزام من القانون و لا تأثير لعدم إيداعها على شكل الطعن .</w:t>
      </w:r>
    </w:p>
    <w:p w:rsidR="00EC4DEF" w:rsidRPr="00EC4DEF" w:rsidRDefault="00EC4DEF" w:rsidP="00EC4DEF">
      <w:pPr>
        <w:spacing w:after="0" w:line="240" w:lineRule="auto"/>
        <w:jc w:val="lowKashida"/>
        <w:rPr>
          <w:rFonts w:ascii="Times New Roman" w:eastAsia="Times New Roman" w:hAnsi="Times New Roman" w:cs="Simplified Arabic"/>
          <w:sz w:val="28"/>
          <w:szCs w:val="28"/>
        </w:rPr>
      </w:pPr>
    </w:p>
    <w:p w:rsidR="00EC4DEF" w:rsidRPr="00EC4DEF" w:rsidRDefault="00EC4DEF" w:rsidP="00EC4DEF">
      <w:pPr>
        <w:spacing w:after="0" w:line="240" w:lineRule="auto"/>
        <w:jc w:val="center"/>
        <w:rPr>
          <w:rFonts w:ascii="Times New Roman" w:eastAsia="Times New Roman" w:hAnsi="Times New Roman" w:cs="Simplified Arabic"/>
          <w:sz w:val="24"/>
          <w:szCs w:val="24"/>
        </w:rPr>
      </w:pPr>
      <w:r w:rsidRPr="00EC4DEF">
        <w:rPr>
          <w:rFonts w:ascii="Simplified Arabic" w:eastAsia="Times New Roman" w:hAnsi="Simplified Arabic" w:cs="Simplified Arabic"/>
          <w:sz w:val="24"/>
          <w:szCs w:val="24"/>
          <w:rtl/>
        </w:rPr>
        <w:t>" سنة المكتب الفنى "  30 " رقم الصفحة -458   -  قاعدة رقم –   -  "</w:t>
      </w:r>
    </w:p>
    <w:p w:rsidR="00EC4DEF" w:rsidRPr="00EC4DEF" w:rsidRDefault="00EC4DEF" w:rsidP="00EC4DEF">
      <w:pPr>
        <w:spacing w:after="0" w:line="240" w:lineRule="auto"/>
        <w:jc w:val="lowKashida"/>
        <w:rPr>
          <w:rFonts w:ascii="Simplified Arabic" w:eastAsia="Times New Roman" w:hAnsi="Simplified Arabic" w:cs="Simplified Arabic"/>
          <w:sz w:val="28"/>
          <w:szCs w:val="28"/>
        </w:rPr>
      </w:pPr>
    </w:p>
    <w:p w:rsidR="00EC4DEF" w:rsidRPr="00EC4DEF" w:rsidRDefault="00EC4DEF" w:rsidP="00EC4DEF">
      <w:pPr>
        <w:spacing w:after="0" w:line="240" w:lineRule="auto"/>
        <w:rPr>
          <w:rFonts w:ascii="Times New Roman" w:eastAsia="Times New Roman" w:hAnsi="Times New Roman" w:cs="Times New Roman"/>
          <w:sz w:val="24"/>
          <w:szCs w:val="24"/>
          <w:rtl/>
        </w:rPr>
      </w:pPr>
    </w:p>
    <w:p w:rsidR="003E5EDE" w:rsidRDefault="003E5EDE">
      <w:bookmarkStart w:id="0" w:name="_GoBack"/>
      <w:bookmarkEnd w:id="0"/>
    </w:p>
    <w:sectPr w:rsidR="003E5ED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103"/>
    <w:rsid w:val="0003272B"/>
    <w:rsid w:val="003E5EDE"/>
    <w:rsid w:val="00D31103"/>
    <w:rsid w:val="00EC4D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79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1231</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2020-06-03T13:12:00Z</dcterms:created>
  <dcterms:modified xsi:type="dcterms:W3CDTF">2020-06-03T13:12:00Z</dcterms:modified>
</cp:coreProperties>
</file>