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88" w:rsidRPr="00C63288" w:rsidRDefault="00C63288" w:rsidP="00C6328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6328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7 لسنة 47 ق </w:t>
      </w:r>
      <w:r w:rsidRPr="00C6328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C6328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21-3-1979</w:t>
      </w:r>
    </w:p>
    <w:p w:rsidR="00C63288" w:rsidRPr="00C63288" w:rsidRDefault="00C63288" w:rsidP="00C6328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6328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حكم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الأحكام غير المنهية للخصومة كلها عدم جواز الطعن فيها الا مع الحكم المنهي للخصومة الاستثناء م 212 مرافعات الأحكام القابلة للتنفيذ الجبري المقصود </w:t>
      </w:r>
      <w:proofErr w:type="gramStart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بها .</w:t>
      </w:r>
      <w:proofErr w:type="gramEnd"/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حكم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6328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الحكم بصحة ونفاذ الوصية وندب خبير لتحديد الأعيان التي ينفذ فيها حكم غير منه للخصومة كلها أو قابلا للتنفيذ الجبري عدم جواز الطعن فيه إلا مع الحكم المنهي </w:t>
      </w:r>
      <w:proofErr w:type="gramStart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للخصومة .</w:t>
      </w:r>
      <w:proofErr w:type="gramEnd"/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C6328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proofErr w:type="gramStart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الوصية .</w:t>
      </w:r>
      <w:proofErr w:type="gramEnd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إنعقادها بارادة الموصي المنفردة دون اشتراط شكل خاص ما أوجبته المادة 2 ق 71 لسنة 1946 من شكل خاص للوصايا الواقعة بعد سنة 1911 . هو شرط لسماع الدعوي بها عند الانكار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(4)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C6328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دعوي </w:t>
      </w:r>
      <w:proofErr w:type="gramStart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الوصية .</w:t>
      </w:r>
      <w:proofErr w:type="gramEnd"/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شرط سماعها وجود أوراق رسمية تدل عليها كفاية الإشارة الي وجودها في تحقيق رسمي دون إستلزام وجود ورقة الوصية ذاتها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(5)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Pr="00C6328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الشهادة الصادرة من واقع دفاتر الشهر </w:t>
      </w:r>
      <w:proofErr w:type="gramStart"/>
      <w:r w:rsidRPr="00C63288">
        <w:rPr>
          <w:rFonts w:ascii="Simplified Arabic" w:eastAsia="Times New Roman" w:hAnsi="Simplified Arabic" w:cs="Simplified Arabic" w:hint="cs"/>
          <w:sz w:val="28"/>
          <w:szCs w:val="28"/>
          <w:rtl/>
        </w:rPr>
        <w:t>العقاري .</w:t>
      </w:r>
      <w:proofErr w:type="gramEnd"/>
      <w:r w:rsidRPr="00C63288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إيرادها إقرار الموصي بالإيصاء بثلث تركته وتوقيعه بالدفتر صلاحيتها كمسوغ لسماع دعوي الوصية ـ كفايتها فى إثبات صحة صدور الوصية منه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C6328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(6)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  <w:r w:rsidRPr="00C6328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C63288">
        <w:rPr>
          <w:rFonts w:ascii="Times New Roman" w:eastAsia="Times New Roman" w:hAnsi="Times New Roman" w:cs="Simplified Arabic"/>
          <w:sz w:val="28"/>
          <w:szCs w:val="24"/>
        </w:rPr>
        <w:t>-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C63288" w:rsidRPr="00C63288" w:rsidRDefault="00C63288" w:rsidP="00C6328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C6328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1-مؤدى نص المادة 212 من قانون المرافعات - و على ما جرى به القضاء هذه المحكمة ـ أن المشرع وضع قاعدة عامة مقتضاها منع الطعن المباشر فى الأحكام التى تصدر أثناء سير </w:t>
      </w: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الدعوى و لا تنتهى بها الخصومة كلها ، فلا يجوز الطعن فيها إلا مع الطعن فى الحكم المنهى لها جميعها ، سواء كانت تلك الأحكام موضوعية أو فرعية أو قطعية أو متعلقة بالإثبات و حتى و لو كانت منهية لجزء من الخصومة ، و لئن إستثنى المشرع أحكاماً أجاز فيها الطعن المباشر و لو لم تنته بها الخصومه كلها ، من بينها الأحكام القابلة للتنفيذ الجبرى ، فإنه يقصد بها تلك التى تصدر فى طلب موضوعى متضمنة إلزام المحكوم عليه أداء معيناً يقوم فيه بعمل أو أعمال لصالح المحكوم عليه عن طريق التنفيذ بوسائل القوة الجبرية ، فيخرج من عدادها الأحكام التى تقتصر على تقرير حق " مركز قانونى أو واقعة قانونية " و لا تتضمن التزاما بأداء معين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2- إذ كان البين من الأوراق أن الطلبات فى الدعوى مكونة من شقين أولهما صحة و نفاذ الوصية و ثانيهما تحديد الأعيان التى تنفذ فيها من تركة المورث ، و كان مؤدى ذلك أن هدفها الأصيل و الوحيد من الشق الأول من الطلبات هو تقرير صحة الوصية وصولاً إلى تثبيت ملكيتها لتلك الأعيان سالفة البيان ، و إذ إقتصر الحكم الصادر فى .. .. على القضاء بصحة و نفاذ إقرار الوصية دون تحديد للأعيان التى ينفذ فيها ، فهو بهذه المثابة لا يعد منهياً للخصومة كلها ، كما لا يعتبر من أحكام الإلزام القابلة للتنفيذ الجبرى و ليس من بين الأحكام الأخرى التى إستثناها المشرع على سبيل الحصر و أجاز الطعن فيها على استقلال ، فيكون الطعن عليه غير جائز إلا مع الطعن فى الحكم المنهى للخصومة برمتها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3- مؤدى نص المادة الثانية من قانون الوصية رقم 71 لسنة 1946 إن المشرع فرق بين إنعقاد الوصية و بين شرط سماع الدعوى بها ، فإعتبرها تصرفاً ينشأ بإرادة منفردة ، تنعقد بتحقق وجود ما يدل على إرادة الشخص لتصرف أو إلتزام معين يترتب عليه تحمل تركته بعد وفاته بحق من الحقوق ، و لا يشترط فى الإيجاب ألفاظاً مخصوصة بل يصح بكل ما يفصح عنه ، سواء كانت صيغته بالعبارة الملفوظة أو بالكتابة أو الإشارة الدالة عليه ، و ما شرعه النص من وجوب أن تتخذ الوصية الواقعة بعد سنة 1911 شكلاً معيناً بأن تحرر بها ورقة رسمية أو تحرر بها ورقة عرفية مكتوبة كلها بخط الموصى و موقع عليها بإمضائه ، مطلوب لجواز سماع الدعوى بالوصية عند الإنكار ، و ليس ركناً فى الوصية و لا صلة له بإنعقادها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4- يشترط - و على ما جرى به قضاء هذه المحكمة - أن يتضمن مسوغ سماع الدعوى ما ينبى عن صحتها ، درءاً لإفتراء الوصايا و تحرزاً من شبهة تزويرها ، و مفاد تطلب أوراق رسمية تدل على الوصية كمسوغ لسماع الدعوى بها ، يكفى فيه مجرد ذكرها عرضاً فى محرر رسمى ، أو الإشارة إلى وجودها فى تحقيق رسمى أدلى فيه الموصى بقوله على يد موظف مختص أو نحو ذلك ، و من ثم فإنه لا يلزم وجود ورقة الوصية ذاتها حتى تسمع الدعوى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5- إذ كان البين من مدونات الحكم المطعون فيه أن المطعون عليها قدمت شهادة صادرة من محفوظات التوثيق بمصلحة الشهر العقارى تفيد أنه أثبت بدفاترها حضور الموصى مورث الطاعنة ، و طلب التصديق على توقيعه على محرر موضوعه إقرار منه بأن يوصى بعد وفاته بثلث تركته من منقول و عقار إلى بنت شقيقه المطعون عليها و أنه وقع بإمضائه فى نهاية ما أثبت بالدفتر عن موضوع المحرر بالإضافة إلى توقيع شاهدين ، فإن هذه الشهادة ، و هى ورقة رسمية لم تنازع الطاعنة فى مطابقتها للأصل تصلح مسوغاً لسماع الدعوى بها . لما كان ما تقدم ، و كان القانون لم يشترط لإنعقاد الوصية أن يصدر بها إشهاد رسمى من الموصى و إنما اعتبر الكتابة من صيغ الوصية مسوياً بين أن تكون بخط الموصى أو خط سواه ، و كانت الشهادة الرسمية المشار إليها و الصيغة الواردة بها تظهر إرادة الموصى و بين مقصوده منها و توضح الموصى إليه و الموصى به و قدره ، فإن الحكم إذ خلص إلى أنها كما تكفى مسوغاً لسماع الدعوى تقوم سنداً أيضا على صحة صدور الوصية ، فإنه لا يكون قد خالف القانون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C63288">
        <w:rPr>
          <w:rFonts w:ascii="Simplified Arabic" w:eastAsia="Times New Roman" w:hAnsi="Simplified Arabic" w:cs="Simplified Arabic"/>
          <w:sz w:val="28"/>
          <w:szCs w:val="28"/>
          <w:rtl/>
        </w:rPr>
        <w:t>6- تقدير ما إذ كانت الورقة التى يراد إعتبارها - مبدأ ثبوت بالكتابة - من شأنها أن تجعل الأمر المراد إثباته قريب الإحتمال ، هو إجتهاد فى فهم الواقع يستقل به قاضى الموضوع متى كان إستخلاصه سائغاً .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C63288" w:rsidRPr="00C63288" w:rsidRDefault="00C63288" w:rsidP="00C63288">
      <w:pPr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</w:rPr>
      </w:pPr>
      <w:r w:rsidRPr="00C6328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- 897  -  قاعدة رقم –   -  "</w:t>
      </w:r>
    </w:p>
    <w:p w:rsidR="00C63288" w:rsidRPr="00C63288" w:rsidRDefault="00C63288" w:rsidP="00C6328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C63288" w:rsidRPr="00C63288" w:rsidRDefault="00C63288" w:rsidP="00C63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C63288" w:rsidRDefault="003E5EDE">
      <w:bookmarkStart w:id="0" w:name="_GoBack"/>
      <w:bookmarkEnd w:id="0"/>
    </w:p>
    <w:sectPr w:rsidR="003E5EDE" w:rsidRPr="00C63288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9D"/>
    <w:rsid w:val="0003272B"/>
    <w:rsid w:val="003E5EDE"/>
    <w:rsid w:val="00C63288"/>
    <w:rsid w:val="00E1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2020-06-03T13:58:00Z</dcterms:created>
  <dcterms:modified xsi:type="dcterms:W3CDTF">2020-06-03T13:58:00Z</dcterms:modified>
</cp:coreProperties>
</file>