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E96" w:rsidRPr="00A32E96" w:rsidRDefault="00A32E96" w:rsidP="00A32E96">
      <w:pPr>
        <w:spacing w:after="0" w:line="240" w:lineRule="auto"/>
        <w:jc w:val="center"/>
        <w:rPr>
          <w:rFonts w:ascii="Times New Roman" w:eastAsia="Times New Roman" w:hAnsi="Times New Roman" w:cs="PT Bold Heading"/>
          <w:b/>
          <w:bCs/>
          <w:color w:val="008000"/>
          <w:sz w:val="32"/>
          <w:szCs w:val="32"/>
          <w:lang w:eastAsia="ar-SA"/>
        </w:rPr>
      </w:pPr>
      <w:r w:rsidRPr="00A32E96">
        <w:rPr>
          <w:rFonts w:ascii="Times New Roman" w:eastAsia="Times New Roman" w:hAnsi="Times New Roman" w:cs="PT Bold Heading" w:hint="cs"/>
          <w:b/>
          <w:bCs/>
          <w:color w:val="008000"/>
          <w:sz w:val="32"/>
          <w:szCs w:val="32"/>
          <w:rtl/>
          <w:lang w:eastAsia="ar-SA"/>
        </w:rPr>
        <w:t xml:space="preserve">الطعن رقم 16 لسنة 47 ق </w:t>
      </w:r>
      <w:r w:rsidRPr="00A32E96">
        <w:rPr>
          <w:rFonts w:ascii="Times New Roman" w:eastAsia="Times New Roman" w:hAnsi="Times New Roman" w:cs="Times New Roman" w:hint="cs"/>
          <w:b/>
          <w:bCs/>
          <w:color w:val="008000"/>
          <w:sz w:val="32"/>
          <w:szCs w:val="32"/>
          <w:rtl/>
          <w:lang w:eastAsia="ar-SA"/>
        </w:rPr>
        <w:t>-</w:t>
      </w:r>
      <w:r w:rsidRPr="00A32E96">
        <w:rPr>
          <w:rFonts w:ascii="Times New Roman" w:eastAsia="Times New Roman" w:hAnsi="Times New Roman" w:cs="PT Bold Heading" w:hint="cs"/>
          <w:b/>
          <w:bCs/>
          <w:color w:val="008000"/>
          <w:sz w:val="32"/>
          <w:szCs w:val="32"/>
          <w:rtl/>
          <w:lang w:eastAsia="ar-SA"/>
        </w:rPr>
        <w:t xml:space="preserve"> جلسة 14-3-1979</w:t>
      </w:r>
    </w:p>
    <w:p w:rsidR="00A32E96" w:rsidRPr="00A32E96" w:rsidRDefault="00A32E96" w:rsidP="00A32E96">
      <w:pPr>
        <w:spacing w:after="0" w:line="240" w:lineRule="auto"/>
        <w:jc w:val="center"/>
        <w:rPr>
          <w:rFonts w:ascii="Times New Roman" w:eastAsia="Times New Roman" w:hAnsi="Times New Roman" w:cs="PT Bold Heading"/>
          <w:b/>
          <w:bCs/>
          <w:color w:val="008000"/>
          <w:sz w:val="32"/>
          <w:szCs w:val="32"/>
          <w:lang w:eastAsia="ar-SA"/>
        </w:rPr>
      </w:pPr>
      <w:r w:rsidRPr="00A32E96">
        <w:rPr>
          <w:rFonts w:ascii="Times New Roman" w:eastAsia="Times New Roman" w:hAnsi="Times New Roman" w:cs="PT Bold Heading" w:hint="cs"/>
          <w:b/>
          <w:bCs/>
          <w:color w:val="008000"/>
          <w:sz w:val="32"/>
          <w:szCs w:val="32"/>
          <w:rtl/>
          <w:lang w:eastAsia="ar-SA"/>
        </w:rPr>
        <w:t>الموضوع ،  و  الموجز :</w:t>
      </w:r>
    </w:p>
    <w:p w:rsidR="00A32E96" w:rsidRPr="00A32E96" w:rsidRDefault="00A32E96" w:rsidP="00A32E96">
      <w:pPr>
        <w:spacing w:after="0" w:line="240" w:lineRule="auto"/>
        <w:jc w:val="lowKashida"/>
        <w:rPr>
          <w:rFonts w:ascii="Times New Roman" w:eastAsia="Times New Roman" w:hAnsi="Times New Roman" w:cs="Simplified Arabic"/>
          <w:b/>
          <w:bCs/>
          <w:sz w:val="32"/>
          <w:szCs w:val="32"/>
        </w:rPr>
      </w:pPr>
    </w:p>
    <w:p w:rsidR="00A32E96" w:rsidRPr="00A32E96" w:rsidRDefault="00A32E96" w:rsidP="00A32E96">
      <w:pPr>
        <w:spacing w:after="0" w:line="240" w:lineRule="auto"/>
        <w:jc w:val="lowKashida"/>
        <w:rPr>
          <w:rFonts w:ascii="Times New Roman" w:eastAsia="Times New Roman" w:hAnsi="Times New Roman" w:cs="Simplified Arabic"/>
          <w:b/>
          <w:bCs/>
          <w:sz w:val="28"/>
          <w:szCs w:val="28"/>
        </w:rPr>
      </w:pPr>
      <w:r w:rsidRPr="00A32E96">
        <w:rPr>
          <w:rFonts w:ascii="Simplified Arabic" w:eastAsia="Times New Roman" w:hAnsi="Simplified Arabic" w:cs="Simplified Arabic"/>
          <w:b/>
          <w:bCs/>
          <w:sz w:val="32"/>
          <w:szCs w:val="32"/>
          <w:rtl/>
        </w:rPr>
        <w:t xml:space="preserve">(1) </w:t>
      </w:r>
      <w:r w:rsidRPr="00A32E96">
        <w:rPr>
          <w:rFonts w:ascii="Simplified Arabic" w:eastAsia="Times New Roman" w:hAnsi="Simplified Arabic" w:cs="Simplified Arabic"/>
          <w:b/>
          <w:bCs/>
          <w:sz w:val="28"/>
          <w:szCs w:val="24"/>
          <w:rtl/>
        </w:rPr>
        <w:t xml:space="preserve">   </w:t>
      </w:r>
      <w:r w:rsidRPr="00A32E96">
        <w:rPr>
          <w:rFonts w:ascii="Simplified Arabic" w:eastAsia="Times New Roman" w:hAnsi="Simplified Arabic" w:cs="Simplified Arabic"/>
          <w:b/>
          <w:bCs/>
          <w:sz w:val="28"/>
          <w:szCs w:val="28"/>
          <w:rtl/>
        </w:rPr>
        <w:t xml:space="preserve"> أحوال شخصية</w:t>
      </w:r>
    </w:p>
    <w:p w:rsidR="00A32E96" w:rsidRPr="00A32E96" w:rsidRDefault="00A32E96" w:rsidP="00A32E96">
      <w:pPr>
        <w:spacing w:after="0" w:line="240" w:lineRule="auto"/>
        <w:jc w:val="lowKashida"/>
        <w:rPr>
          <w:rFonts w:ascii="Times New Roman" w:eastAsia="Times New Roman" w:hAnsi="Times New Roman" w:cs="Simplified Arabic"/>
          <w:sz w:val="28"/>
          <w:szCs w:val="28"/>
        </w:rPr>
      </w:pPr>
      <w:r w:rsidRPr="00A32E96">
        <w:rPr>
          <w:rFonts w:ascii="Times New Roman" w:eastAsia="Times New Roman" w:hAnsi="Times New Roman" w:cs="Simplified Arabic"/>
          <w:sz w:val="28"/>
          <w:szCs w:val="28"/>
        </w:rPr>
        <w:t>-</w:t>
      </w:r>
      <w:r w:rsidRPr="00A32E96">
        <w:rPr>
          <w:rFonts w:ascii="Simplified Arabic" w:eastAsia="Times New Roman" w:hAnsi="Simplified Arabic" w:cs="Simplified Arabic"/>
          <w:sz w:val="28"/>
          <w:szCs w:val="28"/>
          <w:rtl/>
        </w:rPr>
        <w:t xml:space="preserve"> التطليق </w:t>
      </w:r>
      <w:proofErr w:type="gramStart"/>
      <w:r w:rsidRPr="00A32E96">
        <w:rPr>
          <w:rFonts w:ascii="Simplified Arabic" w:eastAsia="Times New Roman" w:hAnsi="Simplified Arabic" w:cs="Simplified Arabic"/>
          <w:sz w:val="28"/>
          <w:szCs w:val="28"/>
          <w:rtl/>
        </w:rPr>
        <w:t>للضرر .</w:t>
      </w:r>
      <w:proofErr w:type="gramEnd"/>
      <w:r w:rsidRPr="00A32E96">
        <w:rPr>
          <w:rFonts w:ascii="Simplified Arabic" w:eastAsia="Times New Roman" w:hAnsi="Simplified Arabic" w:cs="Simplified Arabic"/>
          <w:sz w:val="28"/>
          <w:szCs w:val="28"/>
          <w:rtl/>
        </w:rPr>
        <w:t xml:space="preserve"> م 6 ق 25 لسنة 1929 . شرطه . عجز القاضي عن الاصلاح بين الزوجين عدم وجوب مثول الزوجين بشخصيهما عند محاولة التوفيق .</w:t>
      </w:r>
    </w:p>
    <w:p w:rsidR="00A32E96" w:rsidRPr="00A32E96" w:rsidRDefault="00A32E96" w:rsidP="00A32E96">
      <w:pPr>
        <w:spacing w:after="0" w:line="240" w:lineRule="auto"/>
        <w:jc w:val="lowKashida"/>
        <w:rPr>
          <w:rFonts w:ascii="Times New Roman" w:eastAsia="Times New Roman" w:hAnsi="Times New Roman" w:cs="Simplified Arabic"/>
          <w:b/>
          <w:bCs/>
          <w:sz w:val="28"/>
          <w:szCs w:val="24"/>
        </w:rPr>
      </w:pPr>
    </w:p>
    <w:p w:rsidR="00A32E96" w:rsidRPr="00A32E96" w:rsidRDefault="00A32E96" w:rsidP="00A32E96">
      <w:pPr>
        <w:spacing w:after="0" w:line="240" w:lineRule="auto"/>
        <w:jc w:val="lowKashida"/>
        <w:rPr>
          <w:rFonts w:ascii="Times New Roman" w:eastAsia="Times New Roman" w:hAnsi="Times New Roman" w:cs="Simplified Arabic"/>
          <w:b/>
          <w:bCs/>
          <w:sz w:val="28"/>
          <w:szCs w:val="28"/>
        </w:rPr>
      </w:pPr>
      <w:r w:rsidRPr="00A32E96">
        <w:rPr>
          <w:rFonts w:ascii="Simplified Arabic" w:eastAsia="Times New Roman" w:hAnsi="Simplified Arabic" w:cs="Simplified Arabic"/>
          <w:b/>
          <w:bCs/>
          <w:sz w:val="32"/>
          <w:szCs w:val="32"/>
          <w:rtl/>
        </w:rPr>
        <w:t xml:space="preserve">(2) </w:t>
      </w:r>
      <w:r w:rsidRPr="00A32E96">
        <w:rPr>
          <w:rFonts w:ascii="Simplified Arabic" w:eastAsia="Times New Roman" w:hAnsi="Simplified Arabic" w:cs="Simplified Arabic"/>
          <w:b/>
          <w:bCs/>
          <w:sz w:val="28"/>
          <w:szCs w:val="24"/>
          <w:rtl/>
        </w:rPr>
        <w:t xml:space="preserve">   </w:t>
      </w:r>
      <w:r w:rsidRPr="00A32E96">
        <w:rPr>
          <w:rFonts w:ascii="Simplified Arabic" w:eastAsia="Times New Roman" w:hAnsi="Simplified Arabic" w:cs="Simplified Arabic"/>
          <w:b/>
          <w:bCs/>
          <w:sz w:val="28"/>
          <w:szCs w:val="28"/>
          <w:rtl/>
        </w:rPr>
        <w:t>أحوال شخصية</w:t>
      </w:r>
    </w:p>
    <w:p w:rsidR="00A32E96" w:rsidRPr="00A32E96" w:rsidRDefault="00A32E96" w:rsidP="00A32E96">
      <w:pPr>
        <w:spacing w:after="0" w:line="240" w:lineRule="auto"/>
        <w:jc w:val="lowKashida"/>
        <w:rPr>
          <w:rFonts w:ascii="Times New Roman" w:eastAsia="Times New Roman" w:hAnsi="Times New Roman" w:cs="Simplified Arabic"/>
          <w:sz w:val="28"/>
          <w:szCs w:val="28"/>
        </w:rPr>
      </w:pPr>
      <w:r w:rsidRPr="00A32E96">
        <w:rPr>
          <w:rFonts w:ascii="Times New Roman" w:eastAsia="Times New Roman" w:hAnsi="Times New Roman" w:cs="Simplified Arabic"/>
          <w:sz w:val="28"/>
          <w:szCs w:val="28"/>
        </w:rPr>
        <w:t>-</w:t>
      </w:r>
      <w:r w:rsidRPr="00A32E96">
        <w:rPr>
          <w:rFonts w:ascii="Simplified Arabic" w:eastAsia="Times New Roman" w:hAnsi="Simplified Arabic" w:cs="Simplified Arabic"/>
          <w:sz w:val="28"/>
          <w:szCs w:val="28"/>
          <w:rtl/>
        </w:rPr>
        <w:t xml:space="preserve"> الحكم الصادر في دعوي الطاعة ونشوز الزوجة لا يحول دون نظر دعواها بالتطليق</w:t>
      </w:r>
    </w:p>
    <w:p w:rsidR="00A32E96" w:rsidRPr="00A32E96" w:rsidRDefault="00A32E96" w:rsidP="00A32E96">
      <w:pPr>
        <w:spacing w:after="0" w:line="240" w:lineRule="auto"/>
        <w:jc w:val="lowKashida"/>
        <w:rPr>
          <w:rFonts w:ascii="Times New Roman" w:eastAsia="Times New Roman" w:hAnsi="Times New Roman" w:cs="Simplified Arabic"/>
          <w:b/>
          <w:bCs/>
          <w:sz w:val="28"/>
          <w:szCs w:val="24"/>
        </w:rPr>
      </w:pPr>
    </w:p>
    <w:p w:rsidR="00A32E96" w:rsidRPr="00A32E96" w:rsidRDefault="00A32E96" w:rsidP="00A32E96">
      <w:pPr>
        <w:spacing w:after="0" w:line="240" w:lineRule="auto"/>
        <w:jc w:val="lowKashida"/>
        <w:rPr>
          <w:rFonts w:ascii="Simplified Arabic" w:eastAsia="Times New Roman" w:hAnsi="Simplified Arabic" w:cs="Simplified Arabic"/>
          <w:b/>
          <w:bCs/>
          <w:sz w:val="28"/>
          <w:szCs w:val="24"/>
        </w:rPr>
      </w:pPr>
    </w:p>
    <w:p w:rsidR="00A32E96" w:rsidRPr="00A32E96" w:rsidRDefault="00A32E96" w:rsidP="00A32E96">
      <w:pPr>
        <w:spacing w:after="0" w:line="240" w:lineRule="auto"/>
        <w:jc w:val="center"/>
        <w:rPr>
          <w:rFonts w:ascii="Times New Roman" w:eastAsia="Times New Roman" w:hAnsi="Times New Roman" w:cs="PT Bold Heading"/>
          <w:b/>
          <w:bCs/>
          <w:color w:val="008000"/>
          <w:sz w:val="32"/>
          <w:szCs w:val="32"/>
          <w:rtl/>
          <w:lang w:eastAsia="ar-SA"/>
        </w:rPr>
      </w:pPr>
      <w:r w:rsidRPr="00A32E96">
        <w:rPr>
          <w:rFonts w:ascii="Times New Roman" w:eastAsia="Times New Roman" w:hAnsi="Times New Roman" w:cs="PT Bold Heading" w:hint="cs"/>
          <w:b/>
          <w:bCs/>
          <w:color w:val="008000"/>
          <w:sz w:val="32"/>
          <w:szCs w:val="32"/>
          <w:rtl/>
          <w:lang w:eastAsia="ar-SA"/>
        </w:rPr>
        <w:t>القاعدة</w:t>
      </w:r>
    </w:p>
    <w:p w:rsidR="00A32E96" w:rsidRPr="00A32E96" w:rsidRDefault="00A32E96" w:rsidP="00A32E96">
      <w:pPr>
        <w:spacing w:after="0" w:line="240" w:lineRule="auto"/>
        <w:jc w:val="lowKashida"/>
        <w:rPr>
          <w:rFonts w:ascii="Simplified Arabic" w:eastAsia="Times New Roman" w:hAnsi="Simplified Arabic" w:cs="Simplified Arabic" w:hint="cs"/>
          <w:sz w:val="28"/>
          <w:szCs w:val="28"/>
          <w:rtl/>
        </w:rPr>
      </w:pPr>
      <w:r w:rsidRPr="00A32E96">
        <w:rPr>
          <w:rFonts w:ascii="Simplified Arabic" w:eastAsia="Times New Roman" w:hAnsi="Simplified Arabic" w:cs="Simplified Arabic"/>
          <w:sz w:val="28"/>
          <w:szCs w:val="28"/>
          <w:rtl/>
        </w:rPr>
        <w:t>1- المادة السادسة من المرسوم بقانون رقم 25 لسنة 1929 التى تشترط للقضاء بالتطليق عجز القاضى عن الإصلاح بين الزوجين جاءت خلواً من وجوب مثول الزوجين بشخصهما أمام المحكمة عند محاولة الإصلاح بينهما ، و إذ كان البين من صورة محضر الجلسة أمام محكمة الاستئناف أن المطعون عليها حضرت بشخصها و رفضت الصلح و حضر وكيل الطاعن ، كان ذلك كاف لإثبات عجز المحكمة عن الإصلاح بين الزوجين .</w:t>
      </w:r>
    </w:p>
    <w:p w:rsidR="00A32E96" w:rsidRPr="00A32E96" w:rsidRDefault="00A32E96" w:rsidP="00A32E96">
      <w:pPr>
        <w:spacing w:after="0" w:line="240" w:lineRule="auto"/>
        <w:jc w:val="lowKashida"/>
        <w:rPr>
          <w:rFonts w:ascii="Times New Roman" w:eastAsia="Times New Roman" w:hAnsi="Times New Roman" w:cs="Simplified Arabic"/>
          <w:sz w:val="28"/>
          <w:szCs w:val="28"/>
          <w:rtl/>
        </w:rPr>
      </w:pPr>
    </w:p>
    <w:p w:rsidR="00A32E96" w:rsidRPr="00A32E96" w:rsidRDefault="00A32E96" w:rsidP="00A32E96">
      <w:pPr>
        <w:spacing w:after="0" w:line="240" w:lineRule="auto"/>
        <w:jc w:val="lowKashida"/>
        <w:rPr>
          <w:rFonts w:ascii="Times New Roman" w:eastAsia="Times New Roman" w:hAnsi="Times New Roman" w:cs="Simplified Arabic"/>
          <w:sz w:val="28"/>
          <w:szCs w:val="28"/>
        </w:rPr>
      </w:pPr>
      <w:r w:rsidRPr="00A32E96">
        <w:rPr>
          <w:rFonts w:ascii="Simplified Arabic" w:eastAsia="Times New Roman" w:hAnsi="Simplified Arabic" w:cs="Simplified Arabic"/>
          <w:sz w:val="28"/>
          <w:szCs w:val="28"/>
          <w:rtl/>
        </w:rPr>
        <w:t>2- المقرر فى قضاء هذه المحكمة أن الحكم الصادر فى دعوى و نشوز الزوجة ليسا بما نعين من نظر دعوى التطليق لإختلاف المناط فى كل .</w:t>
      </w:r>
    </w:p>
    <w:p w:rsidR="00A32E96" w:rsidRPr="00A32E96" w:rsidRDefault="00A32E96" w:rsidP="00A32E96">
      <w:pPr>
        <w:spacing w:after="0" w:line="240" w:lineRule="auto"/>
        <w:jc w:val="lowKashida"/>
        <w:rPr>
          <w:rFonts w:ascii="Times New Roman" w:eastAsia="Times New Roman" w:hAnsi="Times New Roman" w:cs="Simplified Arabic"/>
          <w:sz w:val="28"/>
          <w:szCs w:val="28"/>
        </w:rPr>
      </w:pPr>
    </w:p>
    <w:p w:rsidR="00A32E96" w:rsidRPr="00A32E96" w:rsidRDefault="00A32E96" w:rsidP="00A32E96">
      <w:pPr>
        <w:spacing w:after="0" w:line="240" w:lineRule="auto"/>
        <w:jc w:val="center"/>
        <w:rPr>
          <w:rFonts w:ascii="Times New Roman" w:eastAsia="Times New Roman" w:hAnsi="Times New Roman" w:cs="Simplified Arabic"/>
          <w:sz w:val="24"/>
          <w:szCs w:val="24"/>
        </w:rPr>
      </w:pPr>
      <w:r w:rsidRPr="00A32E96">
        <w:rPr>
          <w:rFonts w:ascii="Simplified Arabic" w:eastAsia="Times New Roman" w:hAnsi="Simplified Arabic" w:cs="Simplified Arabic"/>
          <w:sz w:val="24"/>
          <w:szCs w:val="24"/>
          <w:rtl/>
        </w:rPr>
        <w:t>" سنة المكتب الفنى "  30 " رقم الصفحة -  805 -  قاعدة رقم –   -  "</w:t>
      </w:r>
    </w:p>
    <w:p w:rsidR="00A32E96" w:rsidRPr="00A32E96" w:rsidRDefault="00A32E96" w:rsidP="00A32E96">
      <w:pPr>
        <w:spacing w:after="0" w:line="240" w:lineRule="auto"/>
        <w:rPr>
          <w:rFonts w:ascii="Times New Roman" w:eastAsia="Times New Roman" w:hAnsi="Times New Roman" w:cs="Times New Roman"/>
          <w:sz w:val="24"/>
          <w:szCs w:val="24"/>
        </w:rPr>
      </w:pPr>
    </w:p>
    <w:p w:rsidR="003E5EDE" w:rsidRPr="00A32E96" w:rsidRDefault="003E5EDE">
      <w:bookmarkStart w:id="0" w:name="_GoBack"/>
      <w:bookmarkEnd w:id="0"/>
    </w:p>
    <w:sectPr w:rsidR="003E5EDE" w:rsidRPr="00A32E96"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E78"/>
    <w:rsid w:val="0003272B"/>
    <w:rsid w:val="003E5EDE"/>
    <w:rsid w:val="00781E78"/>
    <w:rsid w:val="00A32E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81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2020-06-03T13:50:00Z</dcterms:created>
  <dcterms:modified xsi:type="dcterms:W3CDTF">2020-06-03T13:50:00Z</dcterms:modified>
</cp:coreProperties>
</file>