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5B5" w:rsidRPr="009175B5" w:rsidRDefault="009175B5" w:rsidP="009175B5">
      <w:pPr>
        <w:spacing w:after="0" w:line="240" w:lineRule="auto"/>
        <w:jc w:val="center"/>
        <w:rPr>
          <w:rFonts w:ascii="Times New Roman" w:eastAsia="Times New Roman" w:hAnsi="Times New Roman" w:cs="PT Bold Heading"/>
          <w:b/>
          <w:bCs/>
          <w:color w:val="008000"/>
          <w:sz w:val="32"/>
          <w:szCs w:val="32"/>
          <w:lang w:eastAsia="ar-SA"/>
        </w:rPr>
      </w:pPr>
      <w:r w:rsidRPr="009175B5">
        <w:rPr>
          <w:rFonts w:ascii="Times New Roman" w:eastAsia="Times New Roman" w:hAnsi="Times New Roman" w:cs="PT Bold Heading" w:hint="cs"/>
          <w:b/>
          <w:bCs/>
          <w:color w:val="008000"/>
          <w:sz w:val="32"/>
          <w:szCs w:val="32"/>
          <w:rtl/>
          <w:lang w:eastAsia="ar-SA"/>
        </w:rPr>
        <w:t xml:space="preserve">الطعن رقم 24 لسنه 43 ق </w:t>
      </w:r>
      <w:r w:rsidRPr="009175B5">
        <w:rPr>
          <w:rFonts w:ascii="Times New Roman" w:eastAsia="Times New Roman" w:hAnsi="Times New Roman" w:cs="Times New Roman" w:hint="cs"/>
          <w:b/>
          <w:bCs/>
          <w:color w:val="008000"/>
          <w:sz w:val="32"/>
          <w:szCs w:val="32"/>
          <w:rtl/>
          <w:lang w:eastAsia="ar-SA"/>
        </w:rPr>
        <w:t>-</w:t>
      </w:r>
      <w:r w:rsidRPr="009175B5">
        <w:rPr>
          <w:rFonts w:ascii="Times New Roman" w:eastAsia="Times New Roman" w:hAnsi="Times New Roman" w:cs="PT Bold Heading" w:hint="cs"/>
          <w:b/>
          <w:bCs/>
          <w:color w:val="008000"/>
          <w:sz w:val="32"/>
          <w:szCs w:val="32"/>
          <w:rtl/>
          <w:lang w:eastAsia="ar-SA"/>
        </w:rPr>
        <w:t xml:space="preserve"> جلسة 29-1-1979</w:t>
      </w:r>
    </w:p>
    <w:p w:rsidR="009175B5" w:rsidRPr="009175B5" w:rsidRDefault="009175B5" w:rsidP="009175B5">
      <w:pPr>
        <w:spacing w:after="0" w:line="240" w:lineRule="auto"/>
        <w:jc w:val="center"/>
        <w:rPr>
          <w:rFonts w:ascii="Times New Roman" w:eastAsia="Times New Roman" w:hAnsi="Times New Roman" w:cs="PT Bold Heading"/>
          <w:b/>
          <w:bCs/>
          <w:color w:val="008000"/>
          <w:sz w:val="32"/>
          <w:szCs w:val="32"/>
          <w:lang w:eastAsia="ar-SA"/>
        </w:rPr>
      </w:pPr>
      <w:r w:rsidRPr="009175B5">
        <w:rPr>
          <w:rFonts w:ascii="Times New Roman" w:eastAsia="Times New Roman" w:hAnsi="Times New Roman" w:cs="PT Bold Heading" w:hint="cs"/>
          <w:b/>
          <w:bCs/>
          <w:color w:val="008000"/>
          <w:sz w:val="32"/>
          <w:szCs w:val="32"/>
          <w:rtl/>
          <w:lang w:eastAsia="ar-SA"/>
        </w:rPr>
        <w:t>الموضوع ،  و  الموجز :</w:t>
      </w:r>
    </w:p>
    <w:p w:rsidR="009175B5" w:rsidRPr="009175B5" w:rsidRDefault="009175B5" w:rsidP="009175B5">
      <w:pPr>
        <w:spacing w:after="0" w:line="240" w:lineRule="auto"/>
        <w:jc w:val="lowKashida"/>
        <w:rPr>
          <w:rFonts w:ascii="Times New Roman" w:eastAsia="Times New Roman" w:hAnsi="Times New Roman" w:cs="Simplified Arabic"/>
          <w:b/>
          <w:bCs/>
          <w:sz w:val="32"/>
          <w:szCs w:val="32"/>
        </w:rPr>
      </w:pPr>
    </w:p>
    <w:p w:rsidR="009175B5" w:rsidRPr="009175B5" w:rsidRDefault="009175B5" w:rsidP="009175B5">
      <w:pPr>
        <w:spacing w:after="0" w:line="240" w:lineRule="auto"/>
        <w:jc w:val="lowKashida"/>
        <w:rPr>
          <w:rFonts w:ascii="Times New Roman" w:eastAsia="Times New Roman" w:hAnsi="Times New Roman" w:cs="Simplified Arabic"/>
          <w:b/>
          <w:bCs/>
          <w:sz w:val="28"/>
          <w:szCs w:val="28"/>
        </w:rPr>
      </w:pPr>
      <w:r w:rsidRPr="009175B5">
        <w:rPr>
          <w:rFonts w:ascii="Simplified Arabic" w:eastAsia="Times New Roman" w:hAnsi="Simplified Arabic" w:cs="Simplified Arabic"/>
          <w:b/>
          <w:bCs/>
          <w:sz w:val="32"/>
          <w:szCs w:val="32"/>
          <w:rtl/>
        </w:rPr>
        <w:t xml:space="preserve">(1) </w:t>
      </w:r>
      <w:r w:rsidRPr="009175B5">
        <w:rPr>
          <w:rFonts w:ascii="Simplified Arabic" w:eastAsia="Times New Roman" w:hAnsi="Simplified Arabic" w:cs="Simplified Arabic"/>
          <w:b/>
          <w:bCs/>
          <w:sz w:val="28"/>
          <w:szCs w:val="24"/>
          <w:rtl/>
        </w:rPr>
        <w:t xml:space="preserve">   </w:t>
      </w:r>
      <w:r w:rsidRPr="009175B5">
        <w:rPr>
          <w:rFonts w:ascii="Simplified Arabic" w:eastAsia="Times New Roman" w:hAnsi="Simplified Arabic" w:cs="Simplified Arabic"/>
          <w:b/>
          <w:bCs/>
          <w:sz w:val="28"/>
          <w:szCs w:val="28"/>
          <w:rtl/>
        </w:rPr>
        <w:t>مسئولية  " مسئولية ربان السفينة "</w:t>
      </w:r>
    </w:p>
    <w:p w:rsidR="009175B5" w:rsidRPr="009175B5" w:rsidRDefault="009175B5" w:rsidP="009175B5">
      <w:pPr>
        <w:spacing w:after="0" w:line="240" w:lineRule="auto"/>
        <w:jc w:val="lowKashida"/>
        <w:rPr>
          <w:rFonts w:ascii="Simplified Arabic" w:eastAsia="Times New Roman" w:hAnsi="Simplified Arabic" w:cs="Simplified Arabic"/>
          <w:sz w:val="28"/>
          <w:szCs w:val="28"/>
        </w:rPr>
      </w:pPr>
      <w:r w:rsidRPr="009175B5">
        <w:rPr>
          <w:rFonts w:ascii="Times New Roman" w:eastAsia="Times New Roman" w:hAnsi="Times New Roman" w:cs="Simplified Arabic"/>
          <w:sz w:val="28"/>
          <w:szCs w:val="28"/>
        </w:rPr>
        <w:t>-</w:t>
      </w:r>
      <w:r w:rsidRPr="009175B5">
        <w:rPr>
          <w:rFonts w:ascii="Simplified Arabic" w:eastAsia="Times New Roman" w:hAnsi="Simplified Arabic" w:cs="Simplified Arabic"/>
          <w:sz w:val="28"/>
          <w:szCs w:val="28"/>
          <w:rtl/>
        </w:rPr>
        <w:t xml:space="preserve"> مسئولية ربان السفينة عن العجز فى البضاعة قبل مصلحة الجمارك نفاذها لحين حصول المطابقة بعد إتمام القيد والمراجعة إختلافها من مسئوليته أمام صاحب الرسالة</w:t>
      </w:r>
    </w:p>
    <w:p w:rsidR="009175B5" w:rsidRPr="009175B5" w:rsidRDefault="009175B5" w:rsidP="009175B5">
      <w:pPr>
        <w:spacing w:after="0" w:line="240" w:lineRule="auto"/>
        <w:jc w:val="lowKashida"/>
        <w:rPr>
          <w:rFonts w:ascii="Times New Roman" w:eastAsia="Times New Roman" w:hAnsi="Times New Roman" w:cs="Simplified Arabic"/>
          <w:b/>
          <w:bCs/>
          <w:sz w:val="28"/>
          <w:szCs w:val="24"/>
          <w:rtl/>
        </w:rPr>
      </w:pPr>
    </w:p>
    <w:p w:rsidR="009175B5" w:rsidRPr="009175B5" w:rsidRDefault="009175B5" w:rsidP="009175B5">
      <w:pPr>
        <w:spacing w:after="0" w:line="240" w:lineRule="auto"/>
        <w:jc w:val="lowKashida"/>
        <w:rPr>
          <w:rFonts w:ascii="Simplified Arabic" w:eastAsia="Times New Roman" w:hAnsi="Simplified Arabic" w:cs="Simplified Arabic"/>
          <w:b/>
          <w:bCs/>
          <w:sz w:val="28"/>
          <w:szCs w:val="28"/>
        </w:rPr>
      </w:pPr>
      <w:r w:rsidRPr="009175B5">
        <w:rPr>
          <w:rFonts w:ascii="Simplified Arabic" w:eastAsia="Times New Roman" w:hAnsi="Simplified Arabic" w:cs="Simplified Arabic"/>
          <w:b/>
          <w:bCs/>
          <w:sz w:val="32"/>
          <w:szCs w:val="32"/>
          <w:rtl/>
        </w:rPr>
        <w:t xml:space="preserve">(2) </w:t>
      </w:r>
      <w:r w:rsidRPr="009175B5">
        <w:rPr>
          <w:rFonts w:ascii="Simplified Arabic" w:eastAsia="Times New Roman" w:hAnsi="Simplified Arabic" w:cs="Simplified Arabic"/>
          <w:b/>
          <w:bCs/>
          <w:sz w:val="28"/>
          <w:szCs w:val="24"/>
          <w:rtl/>
        </w:rPr>
        <w:t xml:space="preserve">   </w:t>
      </w:r>
      <w:r w:rsidRPr="009175B5">
        <w:rPr>
          <w:rFonts w:ascii="Simplified Arabic" w:eastAsia="Times New Roman" w:hAnsi="Simplified Arabic" w:cs="Simplified Arabic"/>
          <w:b/>
          <w:bCs/>
          <w:sz w:val="28"/>
          <w:szCs w:val="28"/>
          <w:rtl/>
        </w:rPr>
        <w:t xml:space="preserve">جمارك </w:t>
      </w:r>
    </w:p>
    <w:p w:rsidR="009175B5" w:rsidRPr="009175B5" w:rsidRDefault="009175B5" w:rsidP="009175B5">
      <w:pPr>
        <w:spacing w:after="0" w:line="240" w:lineRule="auto"/>
        <w:jc w:val="lowKashida"/>
        <w:rPr>
          <w:rFonts w:ascii="Times New Roman" w:eastAsia="Times New Roman" w:hAnsi="Times New Roman" w:cs="Simplified Arabic"/>
          <w:sz w:val="28"/>
          <w:szCs w:val="28"/>
          <w:rtl/>
        </w:rPr>
      </w:pPr>
      <w:r w:rsidRPr="009175B5">
        <w:rPr>
          <w:rFonts w:ascii="Times New Roman" w:eastAsia="Times New Roman" w:hAnsi="Times New Roman" w:cs="Simplified Arabic"/>
          <w:sz w:val="28"/>
          <w:szCs w:val="28"/>
        </w:rPr>
        <w:t>-</w:t>
      </w:r>
      <w:r w:rsidRPr="009175B5">
        <w:rPr>
          <w:rFonts w:ascii="Simplified Arabic" w:eastAsia="Times New Roman" w:hAnsi="Simplified Arabic" w:cs="Simplified Arabic"/>
          <w:sz w:val="28"/>
          <w:szCs w:val="28"/>
          <w:rtl/>
        </w:rPr>
        <w:t xml:space="preserve"> وجود عجز في </w:t>
      </w:r>
      <w:proofErr w:type="gramStart"/>
      <w:r w:rsidRPr="009175B5">
        <w:rPr>
          <w:rFonts w:ascii="Simplified Arabic" w:eastAsia="Times New Roman" w:hAnsi="Simplified Arabic" w:cs="Simplified Arabic"/>
          <w:sz w:val="28"/>
          <w:szCs w:val="28"/>
          <w:rtl/>
        </w:rPr>
        <w:t>البضاعة .</w:t>
      </w:r>
      <w:proofErr w:type="gramEnd"/>
      <w:r w:rsidRPr="009175B5">
        <w:rPr>
          <w:rFonts w:ascii="Simplified Arabic" w:eastAsia="Times New Roman" w:hAnsi="Simplified Arabic" w:cs="Simplified Arabic"/>
          <w:sz w:val="28"/>
          <w:szCs w:val="28"/>
          <w:rtl/>
        </w:rPr>
        <w:t xml:space="preserve"> أثره . التزام الربان بالغرامة والرسوم الجمركية المستحقة جواز إثبات الربان بمستندات حقيقية أسباب هذا النقص بما ينفي مظنة التهريب .</w:t>
      </w:r>
    </w:p>
    <w:p w:rsidR="009175B5" w:rsidRPr="009175B5" w:rsidRDefault="009175B5" w:rsidP="009175B5">
      <w:pPr>
        <w:spacing w:after="0" w:line="240" w:lineRule="auto"/>
        <w:jc w:val="lowKashida"/>
        <w:rPr>
          <w:rFonts w:ascii="Simplified Arabic" w:eastAsia="Times New Roman" w:hAnsi="Simplified Arabic" w:cs="Simplified Arabic"/>
          <w:b/>
          <w:bCs/>
          <w:sz w:val="28"/>
          <w:szCs w:val="24"/>
        </w:rPr>
      </w:pPr>
    </w:p>
    <w:p w:rsidR="009175B5" w:rsidRPr="009175B5" w:rsidRDefault="009175B5" w:rsidP="009175B5">
      <w:pPr>
        <w:spacing w:after="0" w:line="240" w:lineRule="auto"/>
        <w:jc w:val="lowKashida"/>
        <w:rPr>
          <w:rFonts w:ascii="Simplified Arabic" w:eastAsia="Times New Roman" w:hAnsi="Simplified Arabic" w:cs="Simplified Arabic"/>
          <w:b/>
          <w:bCs/>
          <w:sz w:val="28"/>
          <w:szCs w:val="24"/>
          <w:rtl/>
        </w:rPr>
      </w:pPr>
    </w:p>
    <w:p w:rsidR="009175B5" w:rsidRPr="009175B5" w:rsidRDefault="009175B5" w:rsidP="009175B5">
      <w:pPr>
        <w:spacing w:after="0" w:line="240" w:lineRule="auto"/>
        <w:jc w:val="center"/>
        <w:rPr>
          <w:rFonts w:ascii="Times New Roman" w:eastAsia="Times New Roman" w:hAnsi="Times New Roman" w:cs="PT Bold Heading"/>
          <w:b/>
          <w:bCs/>
          <w:color w:val="008000"/>
          <w:sz w:val="32"/>
          <w:szCs w:val="32"/>
          <w:rtl/>
          <w:lang w:eastAsia="ar-SA"/>
        </w:rPr>
      </w:pPr>
      <w:r w:rsidRPr="009175B5">
        <w:rPr>
          <w:rFonts w:ascii="Times New Roman" w:eastAsia="Times New Roman" w:hAnsi="Times New Roman" w:cs="PT Bold Heading" w:hint="cs"/>
          <w:b/>
          <w:bCs/>
          <w:color w:val="008000"/>
          <w:sz w:val="32"/>
          <w:szCs w:val="32"/>
          <w:rtl/>
          <w:lang w:eastAsia="ar-SA"/>
        </w:rPr>
        <w:t>القاعدة</w:t>
      </w:r>
    </w:p>
    <w:p w:rsidR="009175B5" w:rsidRPr="009175B5" w:rsidRDefault="009175B5" w:rsidP="009175B5">
      <w:pPr>
        <w:spacing w:after="0" w:line="240" w:lineRule="auto"/>
        <w:jc w:val="lowKashida"/>
        <w:rPr>
          <w:rFonts w:ascii="Times New Roman" w:eastAsia="Times New Roman" w:hAnsi="Times New Roman" w:cs="Simplified Arabic" w:hint="cs"/>
          <w:sz w:val="28"/>
          <w:szCs w:val="28"/>
          <w:rtl/>
        </w:rPr>
      </w:pPr>
      <w:r w:rsidRPr="009175B5">
        <w:rPr>
          <w:rFonts w:ascii="Simplified Arabic" w:eastAsia="Times New Roman" w:hAnsi="Simplified Arabic" w:cs="Simplified Arabic"/>
          <w:sz w:val="28"/>
          <w:szCs w:val="28"/>
          <w:rtl/>
        </w:rPr>
        <w:t xml:space="preserve">1- ربان السفينة هو المسئول مباشرة أمام الجمرك عن أى عجز يظهر فى شحنة السفينة و هى مسئولية مستقلة عن مسئوليته أمام صاحب الرسالة التى تنتهى فى ظل " تسليم صاحبه " بمجرد تسليمها إليه فى ميناء الوصول المتفق عليه ، بينما تبقى مسئولية الربان قائمة أمام مصلحه الجمارك لحين حصول المطابقة و بعد إتمام إجراءات القيد و المراجعة على النحو الذى رسمته المادة 17 من اللائحة الجمركية الصادرة فى 2 من أبريل سنة 1884 التى تحكم واقعة الدعوى . </w:t>
      </w:r>
    </w:p>
    <w:p w:rsidR="009175B5" w:rsidRPr="009175B5" w:rsidRDefault="009175B5" w:rsidP="009175B5">
      <w:pPr>
        <w:spacing w:after="0" w:line="240" w:lineRule="auto"/>
        <w:jc w:val="lowKashida"/>
        <w:rPr>
          <w:rFonts w:ascii="Times New Roman" w:eastAsia="Times New Roman" w:hAnsi="Times New Roman" w:cs="Simplified Arabic"/>
          <w:sz w:val="28"/>
          <w:szCs w:val="28"/>
        </w:rPr>
      </w:pPr>
    </w:p>
    <w:p w:rsidR="009175B5" w:rsidRPr="009175B5" w:rsidRDefault="009175B5" w:rsidP="009175B5">
      <w:pPr>
        <w:spacing w:after="0" w:line="240" w:lineRule="auto"/>
        <w:jc w:val="lowKashida"/>
        <w:rPr>
          <w:rFonts w:ascii="Times New Roman" w:eastAsia="Times New Roman" w:hAnsi="Times New Roman" w:cs="Simplified Arabic"/>
          <w:sz w:val="28"/>
          <w:szCs w:val="28"/>
        </w:rPr>
      </w:pPr>
      <w:r w:rsidRPr="009175B5">
        <w:rPr>
          <w:rFonts w:ascii="Simplified Arabic" w:eastAsia="Times New Roman" w:hAnsi="Simplified Arabic" w:cs="Simplified Arabic"/>
          <w:sz w:val="28"/>
          <w:szCs w:val="28"/>
          <w:rtl/>
        </w:rPr>
        <w:t>2- إذا أسفرت مراجعة مندوب الجمارك عن وجود عجز فى الشحنة عما هو مدون فى قائمة الشحن " المانيفستو " فإن المشرع إفترض أن الربان قد هربه و ألزمه بالغرامة التى قررتها المادة 37 من هذه اللائحة فضلاً عن إلتزامه بأداء الرسوم الجمركية المستحقة على هذا العجز إلا أنه يجوز للربان إعمالاً للفقرة الرابعة من المادة 17 من تلك اللائحة أن ينفى هذه القرينة و إستلزم لذلك أن يبرهن بمستندات حقيقية أسباب هذا النقض كما لو كانت البضائع أو الطرود الناقصة لم تشحن أو لم تفرغ أو فرغت فى جهة غير الجهة المرسلة برسمها.</w:t>
      </w:r>
    </w:p>
    <w:p w:rsidR="009175B5" w:rsidRPr="009175B5" w:rsidRDefault="009175B5" w:rsidP="009175B5">
      <w:pPr>
        <w:spacing w:after="0" w:line="240" w:lineRule="auto"/>
        <w:jc w:val="lowKashida"/>
        <w:rPr>
          <w:rFonts w:ascii="Times New Roman" w:eastAsia="Times New Roman" w:hAnsi="Times New Roman" w:cs="Simplified Arabic"/>
          <w:sz w:val="28"/>
          <w:szCs w:val="28"/>
        </w:rPr>
      </w:pPr>
    </w:p>
    <w:p w:rsidR="009175B5" w:rsidRPr="009175B5" w:rsidRDefault="009175B5" w:rsidP="009175B5">
      <w:pPr>
        <w:spacing w:after="0" w:line="240" w:lineRule="auto"/>
        <w:jc w:val="lowKashida"/>
        <w:rPr>
          <w:rFonts w:ascii="Simplified Arabic" w:eastAsia="Times New Roman" w:hAnsi="Simplified Arabic" w:cs="Simplified Arabic"/>
          <w:sz w:val="28"/>
          <w:szCs w:val="28"/>
        </w:rPr>
      </w:pPr>
      <w:r w:rsidRPr="009175B5">
        <w:rPr>
          <w:rFonts w:ascii="Simplified Arabic" w:eastAsia="Times New Roman" w:hAnsi="Simplified Arabic" w:cs="Simplified Arabic"/>
          <w:sz w:val="28"/>
          <w:szCs w:val="28"/>
          <w:rtl/>
        </w:rPr>
        <w:t xml:space="preserve">                     </w:t>
      </w:r>
    </w:p>
    <w:p w:rsidR="009175B5" w:rsidRPr="009175B5" w:rsidRDefault="009175B5" w:rsidP="009175B5">
      <w:pPr>
        <w:spacing w:after="0" w:line="240" w:lineRule="auto"/>
        <w:jc w:val="center"/>
        <w:rPr>
          <w:rFonts w:ascii="Times New Roman" w:eastAsia="Times New Roman" w:hAnsi="Times New Roman" w:cs="Simplified Arabic"/>
          <w:sz w:val="24"/>
          <w:szCs w:val="24"/>
          <w:rtl/>
        </w:rPr>
      </w:pPr>
      <w:r w:rsidRPr="009175B5">
        <w:rPr>
          <w:rFonts w:ascii="Simplified Arabic" w:eastAsia="Times New Roman" w:hAnsi="Simplified Arabic" w:cs="Simplified Arabic"/>
          <w:sz w:val="24"/>
          <w:szCs w:val="24"/>
          <w:rtl/>
        </w:rPr>
        <w:t>" سنة المكتب الفنى "  30 " رقم الصفحة -  428 -  قاعدة رقم –   -  "</w:t>
      </w:r>
    </w:p>
    <w:p w:rsidR="003E5EDE" w:rsidRDefault="003E5EDE">
      <w:bookmarkStart w:id="0" w:name="_GoBack"/>
      <w:bookmarkEnd w:id="0"/>
    </w:p>
    <w:sectPr w:rsidR="003E5ED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255"/>
    <w:rsid w:val="0003272B"/>
    <w:rsid w:val="003E5EDE"/>
    <w:rsid w:val="009175B5"/>
    <w:rsid w:val="00BB32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74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2020-06-03T13:12:00Z</dcterms:created>
  <dcterms:modified xsi:type="dcterms:W3CDTF">2020-06-03T13:13:00Z</dcterms:modified>
</cp:coreProperties>
</file>