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1C9" w:rsidRPr="00E041C9" w:rsidRDefault="00E041C9" w:rsidP="00E041C9">
      <w:pPr>
        <w:spacing w:after="0" w:line="240" w:lineRule="auto"/>
        <w:jc w:val="center"/>
        <w:rPr>
          <w:rFonts w:ascii="Times New Roman" w:eastAsia="Times New Roman" w:hAnsi="Times New Roman" w:cs="PT Bold Heading"/>
          <w:b/>
          <w:bCs/>
          <w:color w:val="008000"/>
          <w:sz w:val="32"/>
          <w:szCs w:val="32"/>
          <w:lang w:eastAsia="ar-SA"/>
        </w:rPr>
      </w:pPr>
      <w:r w:rsidRPr="00E041C9">
        <w:rPr>
          <w:rFonts w:ascii="Times New Roman" w:eastAsia="Times New Roman" w:hAnsi="Times New Roman" w:cs="PT Bold Heading" w:hint="cs"/>
          <w:b/>
          <w:bCs/>
          <w:color w:val="008000"/>
          <w:sz w:val="32"/>
          <w:szCs w:val="32"/>
          <w:rtl/>
          <w:lang w:eastAsia="ar-SA"/>
        </w:rPr>
        <w:t xml:space="preserve">الطعن رقم 45 لسنة 39 ق </w:t>
      </w:r>
      <w:r w:rsidRPr="00E041C9">
        <w:rPr>
          <w:rFonts w:ascii="Times New Roman" w:eastAsia="Times New Roman" w:hAnsi="Times New Roman" w:cs="Times New Roman" w:hint="cs"/>
          <w:b/>
          <w:bCs/>
          <w:color w:val="008000"/>
          <w:sz w:val="32"/>
          <w:szCs w:val="32"/>
          <w:rtl/>
          <w:lang w:eastAsia="ar-SA"/>
        </w:rPr>
        <w:t>-</w:t>
      </w:r>
      <w:r w:rsidRPr="00E041C9">
        <w:rPr>
          <w:rFonts w:ascii="Times New Roman" w:eastAsia="Times New Roman" w:hAnsi="Times New Roman" w:cs="PT Bold Heading" w:hint="cs"/>
          <w:b/>
          <w:bCs/>
          <w:color w:val="008000"/>
          <w:sz w:val="32"/>
          <w:szCs w:val="32"/>
          <w:rtl/>
          <w:lang w:eastAsia="ar-SA"/>
        </w:rPr>
        <w:t xml:space="preserve"> جلسة 16-4-1979</w:t>
      </w:r>
    </w:p>
    <w:p w:rsidR="00E041C9" w:rsidRPr="00E041C9" w:rsidRDefault="00E041C9" w:rsidP="00E041C9">
      <w:pPr>
        <w:spacing w:after="0" w:line="240" w:lineRule="auto"/>
        <w:jc w:val="center"/>
        <w:rPr>
          <w:rFonts w:ascii="Times New Roman" w:eastAsia="Times New Roman" w:hAnsi="Times New Roman" w:cs="PT Bold Heading"/>
          <w:b/>
          <w:bCs/>
          <w:color w:val="008000"/>
          <w:sz w:val="32"/>
          <w:szCs w:val="32"/>
          <w:lang w:eastAsia="ar-SA"/>
        </w:rPr>
      </w:pPr>
      <w:r w:rsidRPr="00E041C9">
        <w:rPr>
          <w:rFonts w:ascii="Times New Roman" w:eastAsia="Times New Roman" w:hAnsi="Times New Roman" w:cs="PT Bold Heading" w:hint="cs"/>
          <w:b/>
          <w:bCs/>
          <w:color w:val="008000"/>
          <w:sz w:val="32"/>
          <w:szCs w:val="32"/>
          <w:rtl/>
          <w:lang w:eastAsia="ar-SA"/>
        </w:rPr>
        <w:t>الموضوع ،  و  الموجز :</w:t>
      </w:r>
    </w:p>
    <w:p w:rsidR="00E041C9" w:rsidRPr="00E041C9" w:rsidRDefault="00E041C9" w:rsidP="00E041C9">
      <w:pPr>
        <w:spacing w:after="0" w:line="240" w:lineRule="auto"/>
        <w:jc w:val="lowKashida"/>
        <w:rPr>
          <w:rFonts w:ascii="Times New Roman" w:eastAsia="Times New Roman" w:hAnsi="Times New Roman" w:cs="Simplified Arabic"/>
          <w:b/>
          <w:bCs/>
          <w:sz w:val="32"/>
          <w:szCs w:val="32"/>
        </w:rPr>
      </w:pPr>
    </w:p>
    <w:p w:rsidR="00E041C9" w:rsidRPr="00E041C9" w:rsidRDefault="00E041C9" w:rsidP="00E041C9">
      <w:pPr>
        <w:spacing w:after="0" w:line="240" w:lineRule="auto"/>
        <w:jc w:val="lowKashida"/>
        <w:rPr>
          <w:rFonts w:ascii="Simplified Arabic" w:eastAsia="Times New Roman" w:hAnsi="Simplified Arabic" w:cs="Simplified Arabic"/>
          <w:b/>
          <w:bCs/>
          <w:sz w:val="28"/>
          <w:szCs w:val="28"/>
        </w:rPr>
      </w:pPr>
      <w:r w:rsidRPr="00E041C9">
        <w:rPr>
          <w:rFonts w:ascii="Simplified Arabic" w:eastAsia="Times New Roman" w:hAnsi="Simplified Arabic" w:cs="Simplified Arabic"/>
          <w:b/>
          <w:bCs/>
          <w:sz w:val="28"/>
          <w:szCs w:val="28"/>
          <w:rtl/>
        </w:rPr>
        <w:t xml:space="preserve">تعويض – فائدة </w:t>
      </w:r>
    </w:p>
    <w:p w:rsidR="00E041C9" w:rsidRPr="00E041C9" w:rsidRDefault="00E041C9" w:rsidP="00E041C9">
      <w:pPr>
        <w:spacing w:after="0" w:line="240" w:lineRule="auto"/>
        <w:jc w:val="center"/>
        <w:rPr>
          <w:rFonts w:ascii="Times New Roman" w:eastAsia="Times New Roman" w:hAnsi="Times New Roman" w:cs="PT Bold Heading"/>
          <w:b/>
          <w:bCs/>
          <w:color w:val="008000"/>
          <w:sz w:val="32"/>
          <w:szCs w:val="32"/>
          <w:rtl/>
          <w:lang w:eastAsia="ar-SA"/>
        </w:rPr>
      </w:pPr>
      <w:r w:rsidRPr="00E041C9">
        <w:rPr>
          <w:rFonts w:ascii="Times New Roman" w:eastAsia="Times New Roman" w:hAnsi="Times New Roman" w:cs="PT Bold Heading" w:hint="cs"/>
          <w:b/>
          <w:bCs/>
          <w:color w:val="008000"/>
          <w:sz w:val="32"/>
          <w:szCs w:val="32"/>
          <w:rtl/>
          <w:lang w:eastAsia="ar-SA"/>
        </w:rPr>
        <w:t>القاعدة</w:t>
      </w:r>
    </w:p>
    <w:p w:rsidR="00E041C9" w:rsidRPr="00E041C9" w:rsidRDefault="00E041C9" w:rsidP="00E041C9">
      <w:pPr>
        <w:spacing w:after="0" w:line="240" w:lineRule="auto"/>
        <w:jc w:val="lowKashida"/>
        <w:rPr>
          <w:rFonts w:ascii="Times New Roman" w:eastAsia="Times New Roman" w:hAnsi="Times New Roman" w:cs="Simplified Arabic" w:hint="cs"/>
          <w:sz w:val="28"/>
          <w:szCs w:val="28"/>
          <w:rtl/>
        </w:rPr>
      </w:pPr>
      <w:r w:rsidRPr="00E041C9">
        <w:rPr>
          <w:rFonts w:ascii="Simplified Arabic" w:eastAsia="Times New Roman" w:hAnsi="Simplified Arabic" w:cs="Simplified Arabic"/>
          <w:sz w:val="28"/>
          <w:szCs w:val="28"/>
          <w:rtl/>
        </w:rPr>
        <w:t>1- إذ كان أساس المطالبة بالتعويض عما فات المطعون ضده من كسب جبراً للضرر الذى أصابه نتيجة إخلال الطاعنة بإلتزامها التعاقدى يختلف عن أساس المطالبة بالفوائد القانونية عن هذا التعويض بسبب تأخر الطاعنة عن الوفاء به ، فإن الحكم المطعون فيه إذ قضى للمطعون ضده بالفوائد عن مبلغ التعويض المقضى به لا يكون قد أخطأ فى تطبيق القانون .</w:t>
      </w:r>
    </w:p>
    <w:p w:rsidR="00E041C9" w:rsidRPr="00E041C9" w:rsidRDefault="00E041C9" w:rsidP="00E041C9">
      <w:pPr>
        <w:spacing w:after="0" w:line="240" w:lineRule="auto"/>
        <w:jc w:val="lowKashida"/>
        <w:rPr>
          <w:rFonts w:ascii="Times New Roman" w:eastAsia="Times New Roman" w:hAnsi="Times New Roman" w:cs="Simplified Arabic"/>
          <w:sz w:val="28"/>
          <w:szCs w:val="28"/>
        </w:rPr>
      </w:pPr>
    </w:p>
    <w:p w:rsidR="00E041C9" w:rsidRPr="00E041C9" w:rsidRDefault="00E041C9" w:rsidP="00E041C9">
      <w:pPr>
        <w:spacing w:after="0" w:line="240" w:lineRule="auto"/>
        <w:jc w:val="lowKashida"/>
        <w:rPr>
          <w:rFonts w:ascii="Times New Roman" w:eastAsia="Times New Roman" w:hAnsi="Times New Roman" w:cs="Simplified Arabic"/>
          <w:sz w:val="28"/>
          <w:szCs w:val="28"/>
        </w:rPr>
      </w:pPr>
      <w:r w:rsidRPr="00E041C9">
        <w:rPr>
          <w:rFonts w:ascii="Simplified Arabic" w:eastAsia="Times New Roman" w:hAnsi="Simplified Arabic" w:cs="Simplified Arabic"/>
          <w:sz w:val="28"/>
          <w:szCs w:val="28"/>
          <w:rtl/>
        </w:rPr>
        <w:t>2- تحدد المادة 226 من القانون المدنى سعر الفائدة القانونية فى المسائل التجارية بواقع 5 % و إذ كان البين من مدونات الحكم المطعون فيه أن الحكم الصادر من محكمة أول درجة قضى فى مادة تجارية بإلزام الطاعنة بأن تدفع للمطعون ضده جزء من التعويض الذى طالب به و فائدته القانونية بواقع 5 % و قد تأيد هذا الحكم إستئنافياً و إرتضته الطاعنة و لم تطعن فيه بطريق النقض ، فإن القضاء المشار إليه يكون قد حاز حجية بين الطرفين تمنع الطاعنة من المنازعة فى تجارية المعاملة و سعر الفائدة المقررة عنها و ذلك عند نظر المطالبة بباقى التعويض .</w:t>
      </w:r>
    </w:p>
    <w:p w:rsidR="00E041C9" w:rsidRPr="00E041C9" w:rsidRDefault="00E041C9" w:rsidP="00E041C9">
      <w:pPr>
        <w:spacing w:after="0" w:line="240" w:lineRule="auto"/>
        <w:jc w:val="lowKashida"/>
        <w:rPr>
          <w:rFonts w:ascii="Times New Roman" w:eastAsia="Times New Roman" w:hAnsi="Times New Roman" w:cs="Simplified Arabic"/>
          <w:sz w:val="28"/>
          <w:szCs w:val="28"/>
        </w:rPr>
      </w:pPr>
    </w:p>
    <w:p w:rsidR="00E041C9" w:rsidRPr="00E041C9" w:rsidRDefault="00E041C9" w:rsidP="00E041C9">
      <w:pPr>
        <w:spacing w:after="0" w:line="240" w:lineRule="auto"/>
        <w:jc w:val="lowKashida"/>
        <w:rPr>
          <w:rFonts w:ascii="Times New Roman" w:eastAsia="Times New Roman" w:hAnsi="Times New Roman" w:cs="Simplified Arabic"/>
          <w:sz w:val="28"/>
          <w:szCs w:val="28"/>
        </w:rPr>
      </w:pPr>
      <w:r w:rsidRPr="00E041C9">
        <w:rPr>
          <w:rFonts w:ascii="Simplified Arabic" w:eastAsia="Times New Roman" w:hAnsi="Simplified Arabic" w:cs="Simplified Arabic"/>
          <w:sz w:val="28"/>
          <w:szCs w:val="28"/>
          <w:rtl/>
        </w:rPr>
        <w:t>3- مفاد نص المادة 226 من القانون المدنى أنه لا تسرى الفوائد القانونية من تاريخ المطالبة القضائية إلا على المبالغ التى تكون معلومة المقدار وقت رفع الدعوى و المقصود بمحل الإلتزام معلوم المقدار هو - و على ما جرى به قضاء هذه المحكمة - أن يكون تحديد مقداره قائماً على أسس ثابتة لا يكون معها للقضاء سلطة فى تقديره ، و إذ كان البين من مدونات الحكم المطعون فيه أنه أقام قضاءه على إخلال الطاعنة فى تنفيذ إلتزامها بتسليم المطعون ضده كميات الأرز المتفق عليها مقابل كميات الذرة التى تسلمها منه بالفعل ... و كان ما قضى به الحكم لا يعدو أن يكون تعويضاً عن إخلال الطاعنة فى تنفيذ تعاقدها مع المطعون ضده ، و هذا التعويض لم يكن معلوم المقدار وقت رفع الدعوى بل يخضع تقديره لسلطة القضاء ، و من ثم فإن الفائدة القانونية التى تستحق عن التأخير فى الوفاء به لا تسرى إلا من تاريخ الحكم النهائى به .</w:t>
      </w:r>
    </w:p>
    <w:p w:rsidR="00E041C9" w:rsidRPr="00E041C9" w:rsidRDefault="00E041C9" w:rsidP="00E041C9">
      <w:pPr>
        <w:spacing w:after="0" w:line="240" w:lineRule="auto"/>
        <w:jc w:val="lowKashida"/>
        <w:rPr>
          <w:rFonts w:ascii="Times New Roman" w:eastAsia="Times New Roman" w:hAnsi="Times New Roman" w:cs="Simplified Arabic"/>
          <w:sz w:val="28"/>
          <w:szCs w:val="28"/>
        </w:rPr>
      </w:pPr>
    </w:p>
    <w:p w:rsidR="00E041C9" w:rsidRPr="00E041C9" w:rsidRDefault="00E041C9" w:rsidP="00E041C9">
      <w:pPr>
        <w:spacing w:after="0" w:line="240" w:lineRule="auto"/>
        <w:jc w:val="center"/>
        <w:rPr>
          <w:rFonts w:ascii="Times New Roman" w:eastAsia="Times New Roman" w:hAnsi="Times New Roman" w:cs="Simplified Arabic"/>
          <w:sz w:val="24"/>
          <w:szCs w:val="24"/>
        </w:rPr>
      </w:pPr>
      <w:r w:rsidRPr="00E041C9">
        <w:rPr>
          <w:rFonts w:ascii="Simplified Arabic" w:eastAsia="Times New Roman" w:hAnsi="Simplified Arabic" w:cs="Simplified Arabic"/>
          <w:sz w:val="24"/>
          <w:szCs w:val="24"/>
          <w:rtl/>
        </w:rPr>
        <w:t>" سنة المكتب الفنى "  30 " رقم الصفحة -   -  قاعدة رقم –   -  "</w:t>
      </w:r>
    </w:p>
    <w:p w:rsidR="00E041C9" w:rsidRPr="00E041C9" w:rsidRDefault="00E041C9" w:rsidP="00E041C9">
      <w:pPr>
        <w:spacing w:after="0" w:line="240" w:lineRule="auto"/>
        <w:rPr>
          <w:rFonts w:ascii="Times New Roman" w:eastAsia="Times New Roman" w:hAnsi="Times New Roman" w:cs="Times New Roman"/>
          <w:sz w:val="24"/>
          <w:szCs w:val="24"/>
        </w:rPr>
      </w:pPr>
    </w:p>
    <w:p w:rsidR="003E5EDE" w:rsidRPr="00E041C9" w:rsidRDefault="003E5EDE">
      <w:bookmarkStart w:id="0" w:name="_GoBack"/>
      <w:bookmarkEnd w:id="0"/>
    </w:p>
    <w:sectPr w:rsidR="003E5EDE" w:rsidRPr="00E041C9"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481"/>
    <w:rsid w:val="0003272B"/>
    <w:rsid w:val="003E5EDE"/>
    <w:rsid w:val="00CA2481"/>
    <w:rsid w:val="00E041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70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1506</Characters>
  <Application>Microsoft Office Word</Application>
  <DocSecurity>0</DocSecurity>
  <Lines>12</Lines>
  <Paragraphs>3</Paragraphs>
  <ScaleCrop>false</ScaleCrop>
  <Company/>
  <LinksUpToDate>false</LinksUpToDate>
  <CharactersWithSpaces>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2020-06-03T14:07:00Z</dcterms:created>
  <dcterms:modified xsi:type="dcterms:W3CDTF">2020-06-03T14:07:00Z</dcterms:modified>
</cp:coreProperties>
</file>