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325B" w:rsidRPr="00A6325B" w:rsidRDefault="00A6325B" w:rsidP="00A6325B">
      <w:pPr>
        <w:spacing w:after="0" w:line="240" w:lineRule="auto"/>
        <w:jc w:val="center"/>
        <w:rPr>
          <w:rFonts w:ascii="Times New Roman" w:eastAsia="Times New Roman" w:hAnsi="Times New Roman" w:cs="PT Bold Heading"/>
          <w:b/>
          <w:bCs/>
          <w:color w:val="008000"/>
          <w:sz w:val="32"/>
          <w:szCs w:val="32"/>
          <w:lang w:eastAsia="ar-SA"/>
        </w:rPr>
      </w:pPr>
      <w:r w:rsidRPr="00A6325B">
        <w:rPr>
          <w:rFonts w:ascii="Times New Roman" w:eastAsia="Times New Roman" w:hAnsi="Times New Roman" w:cs="PT Bold Heading" w:hint="cs"/>
          <w:b/>
          <w:bCs/>
          <w:color w:val="008000"/>
          <w:sz w:val="32"/>
          <w:szCs w:val="32"/>
          <w:rtl/>
          <w:lang w:eastAsia="ar-SA"/>
        </w:rPr>
        <w:t xml:space="preserve">الطعن رقم </w:t>
      </w:r>
      <w:r w:rsidRPr="00A6325B">
        <w:rPr>
          <w:rFonts w:ascii="Times New Roman" w:eastAsia="Times New Roman" w:hAnsi="Times New Roman" w:cs="PT Bold Heading"/>
          <w:b/>
          <w:bCs/>
          <w:color w:val="008000"/>
          <w:sz w:val="32"/>
          <w:szCs w:val="32"/>
          <w:lang w:eastAsia="ar-SA"/>
        </w:rPr>
        <w:t xml:space="preserve">49 </w:t>
      </w:r>
      <w:r w:rsidRPr="00A6325B">
        <w:rPr>
          <w:rFonts w:ascii="Times New Roman" w:eastAsia="Times New Roman" w:hAnsi="Times New Roman" w:cs="PT Bold Heading" w:hint="cs"/>
          <w:b/>
          <w:bCs/>
          <w:color w:val="008000"/>
          <w:sz w:val="32"/>
          <w:szCs w:val="32"/>
          <w:rtl/>
          <w:lang w:eastAsia="ar-SA"/>
        </w:rPr>
        <w:t xml:space="preserve">لسنه </w:t>
      </w:r>
      <w:r w:rsidRPr="00A6325B">
        <w:rPr>
          <w:rFonts w:ascii="Times New Roman" w:eastAsia="Times New Roman" w:hAnsi="Times New Roman" w:cs="PT Bold Heading"/>
          <w:b/>
          <w:bCs/>
          <w:color w:val="008000"/>
          <w:sz w:val="32"/>
          <w:szCs w:val="32"/>
          <w:lang w:eastAsia="ar-SA"/>
        </w:rPr>
        <w:t xml:space="preserve">43 </w:t>
      </w:r>
      <w:r w:rsidRPr="00A6325B">
        <w:rPr>
          <w:rFonts w:ascii="Times New Roman" w:eastAsia="Times New Roman" w:hAnsi="Times New Roman" w:cs="PT Bold Heading" w:hint="cs"/>
          <w:b/>
          <w:bCs/>
          <w:color w:val="008000"/>
          <w:sz w:val="32"/>
          <w:szCs w:val="32"/>
          <w:rtl/>
          <w:lang w:eastAsia="ar-SA"/>
        </w:rPr>
        <w:t xml:space="preserve">ق - جلسة </w:t>
      </w:r>
      <w:r w:rsidRPr="00A6325B">
        <w:rPr>
          <w:rFonts w:ascii="Times New Roman" w:eastAsia="Times New Roman" w:hAnsi="Times New Roman" w:cs="PT Bold Heading"/>
          <w:b/>
          <w:bCs/>
          <w:color w:val="008000"/>
          <w:sz w:val="32"/>
          <w:szCs w:val="32"/>
          <w:lang w:eastAsia="ar-SA"/>
        </w:rPr>
        <w:t xml:space="preserve">1979-3-13 </w:t>
      </w:r>
    </w:p>
    <w:p w:rsidR="00A6325B" w:rsidRPr="00A6325B" w:rsidRDefault="00A6325B" w:rsidP="00A6325B">
      <w:pPr>
        <w:spacing w:after="0" w:line="240" w:lineRule="auto"/>
        <w:jc w:val="center"/>
        <w:rPr>
          <w:rFonts w:ascii="Times New Roman" w:eastAsia="Times New Roman" w:hAnsi="Times New Roman" w:cs="PT Bold Heading" w:hint="cs"/>
          <w:b/>
          <w:bCs/>
          <w:color w:val="008000"/>
          <w:sz w:val="32"/>
          <w:szCs w:val="32"/>
          <w:rtl/>
          <w:lang w:eastAsia="ar-SA"/>
        </w:rPr>
      </w:pPr>
      <w:r w:rsidRPr="00A6325B">
        <w:rPr>
          <w:rFonts w:ascii="Times New Roman" w:eastAsia="Times New Roman" w:hAnsi="Times New Roman" w:cs="PT Bold Heading" w:hint="cs"/>
          <w:b/>
          <w:bCs/>
          <w:color w:val="008000"/>
          <w:sz w:val="32"/>
          <w:szCs w:val="32"/>
          <w:rtl/>
          <w:lang w:eastAsia="ar-SA"/>
        </w:rPr>
        <w:t>الموضوع ،  و  الموجز :</w:t>
      </w:r>
    </w:p>
    <w:p w:rsidR="00A6325B" w:rsidRPr="00A6325B" w:rsidRDefault="00A6325B" w:rsidP="00A6325B">
      <w:pPr>
        <w:spacing w:after="0" w:line="240" w:lineRule="auto"/>
        <w:jc w:val="lowKashida"/>
        <w:rPr>
          <w:rFonts w:ascii="Times New Roman" w:eastAsia="Times New Roman" w:hAnsi="Times New Roman" w:cs="Simplified Arabic"/>
          <w:b/>
          <w:bCs/>
          <w:sz w:val="32"/>
          <w:szCs w:val="32"/>
        </w:rPr>
      </w:pPr>
    </w:p>
    <w:p w:rsidR="00A6325B" w:rsidRPr="00A6325B" w:rsidRDefault="00A6325B" w:rsidP="00A6325B">
      <w:pPr>
        <w:spacing w:after="0" w:line="240" w:lineRule="auto"/>
        <w:jc w:val="lowKashida"/>
        <w:rPr>
          <w:rFonts w:ascii="Simplified Arabic" w:eastAsia="Times New Roman" w:hAnsi="Simplified Arabic" w:cs="Simplified Arabic"/>
          <w:b/>
          <w:bCs/>
          <w:sz w:val="28"/>
          <w:szCs w:val="28"/>
        </w:rPr>
      </w:pPr>
      <w:r w:rsidRPr="00A6325B">
        <w:rPr>
          <w:rFonts w:ascii="Simplified Arabic" w:eastAsia="Times New Roman" w:hAnsi="Simplified Arabic" w:cs="Simplified Arabic"/>
          <w:b/>
          <w:bCs/>
          <w:sz w:val="32"/>
          <w:szCs w:val="32"/>
          <w:rtl/>
        </w:rPr>
        <w:t xml:space="preserve">(1) </w:t>
      </w:r>
      <w:r w:rsidRPr="00A6325B">
        <w:rPr>
          <w:rFonts w:ascii="Simplified Arabic" w:eastAsia="Times New Roman" w:hAnsi="Simplified Arabic" w:cs="Simplified Arabic"/>
          <w:b/>
          <w:bCs/>
          <w:sz w:val="28"/>
          <w:szCs w:val="24"/>
          <w:rtl/>
        </w:rPr>
        <w:t xml:space="preserve">   </w:t>
      </w:r>
      <w:r w:rsidRPr="00A6325B">
        <w:rPr>
          <w:rFonts w:ascii="Simplified Arabic" w:eastAsia="Times New Roman" w:hAnsi="Simplified Arabic" w:cs="Simplified Arabic"/>
          <w:b/>
          <w:bCs/>
          <w:sz w:val="28"/>
          <w:szCs w:val="28"/>
          <w:rtl/>
        </w:rPr>
        <w:t>هبة</w:t>
      </w:r>
    </w:p>
    <w:p w:rsidR="00A6325B" w:rsidRPr="00A6325B" w:rsidRDefault="00A6325B" w:rsidP="00A6325B">
      <w:pPr>
        <w:spacing w:after="0" w:line="240" w:lineRule="auto"/>
        <w:jc w:val="lowKashida"/>
        <w:rPr>
          <w:rFonts w:ascii="Times New Roman" w:eastAsia="Times New Roman" w:hAnsi="Times New Roman" w:cs="Simplified Arabic"/>
          <w:sz w:val="28"/>
          <w:szCs w:val="28"/>
          <w:rtl/>
        </w:rPr>
      </w:pPr>
      <w:r w:rsidRPr="00A6325B">
        <w:rPr>
          <w:rFonts w:ascii="Times New Roman" w:eastAsia="Times New Roman" w:hAnsi="Times New Roman" w:cs="Simplified Arabic"/>
          <w:sz w:val="28"/>
          <w:szCs w:val="28"/>
        </w:rPr>
        <w:t>-</w:t>
      </w:r>
      <w:r w:rsidRPr="00A6325B">
        <w:rPr>
          <w:rFonts w:ascii="Simplified Arabic" w:eastAsia="Times New Roman" w:hAnsi="Simplified Arabic" w:cs="Simplified Arabic"/>
          <w:sz w:val="28"/>
          <w:szCs w:val="28"/>
          <w:rtl/>
        </w:rPr>
        <w:t xml:space="preserve"> الحكم برجوع الوالد عن الهبة الصادرة لولده بمبلغ من النقود لشراء شهادات إستثمار يقتضى الواهب فوائدها استناد الحكم فى قضائه الى أن عدم أداء الموهوب له الفوائد الى الواهب يعتبر جحودا كبيرا </w:t>
      </w:r>
      <w:proofErr w:type="gramStart"/>
      <w:r w:rsidRPr="00A6325B">
        <w:rPr>
          <w:rFonts w:ascii="Simplified Arabic" w:eastAsia="Times New Roman" w:hAnsi="Simplified Arabic" w:cs="Simplified Arabic"/>
          <w:sz w:val="28"/>
          <w:szCs w:val="28"/>
          <w:rtl/>
        </w:rPr>
        <w:t>منه .</w:t>
      </w:r>
      <w:proofErr w:type="gramEnd"/>
      <w:r w:rsidRPr="00A6325B">
        <w:rPr>
          <w:rFonts w:ascii="Simplified Arabic" w:eastAsia="Times New Roman" w:hAnsi="Simplified Arabic" w:cs="Simplified Arabic"/>
          <w:sz w:val="28"/>
          <w:szCs w:val="28"/>
          <w:rtl/>
        </w:rPr>
        <w:t xml:space="preserve"> لا خطأ . لا محل بعد ذلك لبحث إعسار الواهب .</w:t>
      </w:r>
    </w:p>
    <w:p w:rsidR="00A6325B" w:rsidRPr="00A6325B" w:rsidRDefault="00A6325B" w:rsidP="00A6325B">
      <w:pPr>
        <w:spacing w:after="0" w:line="240" w:lineRule="auto"/>
        <w:jc w:val="lowKashida"/>
        <w:rPr>
          <w:rFonts w:ascii="Simplified Arabic" w:eastAsia="Times New Roman" w:hAnsi="Simplified Arabic" w:cs="Simplified Arabic"/>
          <w:b/>
          <w:bCs/>
          <w:sz w:val="28"/>
          <w:szCs w:val="24"/>
        </w:rPr>
      </w:pPr>
    </w:p>
    <w:p w:rsidR="00A6325B" w:rsidRPr="00A6325B" w:rsidRDefault="00A6325B" w:rsidP="00A6325B">
      <w:pPr>
        <w:spacing w:after="0" w:line="240" w:lineRule="auto"/>
        <w:jc w:val="lowKashida"/>
        <w:rPr>
          <w:rFonts w:ascii="Simplified Arabic" w:eastAsia="Times New Roman" w:hAnsi="Simplified Arabic" w:cs="Simplified Arabic"/>
          <w:b/>
          <w:bCs/>
          <w:sz w:val="28"/>
          <w:szCs w:val="24"/>
          <w:rtl/>
        </w:rPr>
      </w:pPr>
      <w:r w:rsidRPr="00A6325B">
        <w:rPr>
          <w:rFonts w:ascii="Simplified Arabic" w:eastAsia="Times New Roman" w:hAnsi="Simplified Arabic" w:cs="Simplified Arabic"/>
          <w:b/>
          <w:bCs/>
          <w:sz w:val="32"/>
          <w:szCs w:val="32"/>
          <w:rtl/>
        </w:rPr>
        <w:t xml:space="preserve">(2) </w:t>
      </w:r>
      <w:r w:rsidRPr="00A6325B">
        <w:rPr>
          <w:rFonts w:ascii="Simplified Arabic" w:eastAsia="Times New Roman" w:hAnsi="Simplified Arabic" w:cs="Simplified Arabic"/>
          <w:b/>
          <w:bCs/>
          <w:sz w:val="28"/>
          <w:szCs w:val="24"/>
          <w:rtl/>
        </w:rPr>
        <w:t xml:space="preserve">   </w:t>
      </w:r>
      <w:r w:rsidRPr="00A6325B">
        <w:rPr>
          <w:rFonts w:ascii="Simplified Arabic" w:eastAsia="Times New Roman" w:hAnsi="Simplified Arabic" w:cs="Simplified Arabic"/>
          <w:b/>
          <w:bCs/>
          <w:sz w:val="28"/>
          <w:szCs w:val="28"/>
          <w:rtl/>
        </w:rPr>
        <w:t>هبة</w:t>
      </w:r>
    </w:p>
    <w:p w:rsidR="00A6325B" w:rsidRPr="00A6325B" w:rsidRDefault="00A6325B" w:rsidP="00A6325B">
      <w:pPr>
        <w:spacing w:after="0" w:line="240" w:lineRule="auto"/>
        <w:jc w:val="lowKashida"/>
        <w:rPr>
          <w:rFonts w:ascii="Times New Roman" w:eastAsia="Times New Roman" w:hAnsi="Times New Roman" w:cs="Simplified Arabic"/>
          <w:sz w:val="28"/>
          <w:szCs w:val="28"/>
          <w:rtl/>
        </w:rPr>
      </w:pPr>
      <w:r w:rsidRPr="00A6325B">
        <w:rPr>
          <w:rFonts w:ascii="Times New Roman" w:eastAsia="Times New Roman" w:hAnsi="Times New Roman" w:cs="Simplified Arabic"/>
          <w:sz w:val="28"/>
          <w:szCs w:val="28"/>
        </w:rPr>
        <w:t>-</w:t>
      </w:r>
      <w:r w:rsidRPr="00A6325B">
        <w:rPr>
          <w:rFonts w:ascii="Simplified Arabic" w:eastAsia="Times New Roman" w:hAnsi="Simplified Arabic" w:cs="Simplified Arabic"/>
          <w:sz w:val="28"/>
          <w:szCs w:val="28"/>
          <w:rtl/>
        </w:rPr>
        <w:t xml:space="preserve"> دفع الموهوب له بهلاك المال الموهوب بما يمتنع معه رجوع الواهب عن </w:t>
      </w:r>
      <w:proofErr w:type="gramStart"/>
      <w:r w:rsidRPr="00A6325B">
        <w:rPr>
          <w:rFonts w:ascii="Simplified Arabic" w:eastAsia="Times New Roman" w:hAnsi="Simplified Arabic" w:cs="Simplified Arabic"/>
          <w:sz w:val="28"/>
          <w:szCs w:val="28"/>
          <w:rtl/>
        </w:rPr>
        <w:t>الهبة .</w:t>
      </w:r>
      <w:proofErr w:type="gramEnd"/>
      <w:r w:rsidRPr="00A6325B">
        <w:rPr>
          <w:rFonts w:ascii="Simplified Arabic" w:eastAsia="Times New Roman" w:hAnsi="Simplified Arabic" w:cs="Simplified Arabic"/>
          <w:sz w:val="28"/>
          <w:szCs w:val="28"/>
          <w:rtl/>
        </w:rPr>
        <w:t xml:space="preserve"> وقوع عبء إثباته علي الموهوب له .</w:t>
      </w:r>
    </w:p>
    <w:p w:rsidR="00A6325B" w:rsidRPr="00A6325B" w:rsidRDefault="00A6325B" w:rsidP="00A6325B">
      <w:pPr>
        <w:spacing w:after="0" w:line="240" w:lineRule="auto"/>
        <w:jc w:val="lowKashida"/>
        <w:rPr>
          <w:rFonts w:ascii="Simplified Arabic" w:eastAsia="Times New Roman" w:hAnsi="Simplified Arabic" w:cs="Simplified Arabic"/>
          <w:b/>
          <w:bCs/>
          <w:sz w:val="28"/>
          <w:szCs w:val="24"/>
        </w:rPr>
      </w:pPr>
    </w:p>
    <w:p w:rsidR="00A6325B" w:rsidRPr="00A6325B" w:rsidRDefault="00A6325B" w:rsidP="00A6325B">
      <w:pPr>
        <w:spacing w:after="0" w:line="240" w:lineRule="auto"/>
        <w:jc w:val="lowKashida"/>
        <w:rPr>
          <w:rFonts w:ascii="Times New Roman" w:eastAsia="Times New Roman" w:hAnsi="Times New Roman" w:cs="Simplified Arabic"/>
          <w:b/>
          <w:bCs/>
          <w:sz w:val="28"/>
          <w:szCs w:val="24"/>
          <w:rtl/>
        </w:rPr>
      </w:pPr>
    </w:p>
    <w:p w:rsidR="00A6325B" w:rsidRPr="00A6325B" w:rsidRDefault="00A6325B" w:rsidP="00A6325B">
      <w:pPr>
        <w:spacing w:after="0" w:line="240" w:lineRule="auto"/>
        <w:jc w:val="center"/>
        <w:rPr>
          <w:rFonts w:ascii="Times New Roman" w:eastAsia="Times New Roman" w:hAnsi="Times New Roman" w:cs="PT Bold Heading"/>
          <w:b/>
          <w:bCs/>
          <w:color w:val="008000"/>
          <w:sz w:val="32"/>
          <w:szCs w:val="32"/>
          <w:lang w:eastAsia="ar-SA"/>
        </w:rPr>
      </w:pPr>
      <w:r w:rsidRPr="00A6325B">
        <w:rPr>
          <w:rFonts w:ascii="Times New Roman" w:eastAsia="Times New Roman" w:hAnsi="Times New Roman" w:cs="PT Bold Heading" w:hint="cs"/>
          <w:b/>
          <w:bCs/>
          <w:color w:val="008000"/>
          <w:sz w:val="32"/>
          <w:szCs w:val="32"/>
          <w:rtl/>
          <w:lang w:eastAsia="ar-SA"/>
        </w:rPr>
        <w:t>القاعدة</w:t>
      </w:r>
    </w:p>
    <w:p w:rsidR="00A6325B" w:rsidRPr="00A6325B" w:rsidRDefault="00A6325B" w:rsidP="00A6325B">
      <w:pPr>
        <w:spacing w:after="0" w:line="240" w:lineRule="auto"/>
        <w:jc w:val="lowKashida"/>
        <w:rPr>
          <w:rFonts w:ascii="Simplified Arabic" w:eastAsia="Times New Roman" w:hAnsi="Simplified Arabic" w:cs="Simplified Arabic"/>
          <w:sz w:val="28"/>
          <w:szCs w:val="28"/>
        </w:rPr>
      </w:pPr>
      <w:r w:rsidRPr="00A6325B">
        <w:rPr>
          <w:rFonts w:ascii="Simplified Arabic" w:eastAsia="Times New Roman" w:hAnsi="Simplified Arabic" w:cs="Simplified Arabic"/>
          <w:sz w:val="28"/>
          <w:szCs w:val="28"/>
          <w:rtl/>
        </w:rPr>
        <w:t xml:space="preserve">1-البين من الإطلاع على الحكم المطعون فيه أنه أستند فى قضائه بتأييد الحكم الإبتدائى إلى أن عدم أداء الطاعن </w:t>
      </w:r>
      <w:r w:rsidRPr="00A6325B">
        <w:rPr>
          <w:rFonts w:ascii="Times New Roman" w:eastAsia="Times New Roman" w:hAnsi="Times New Roman" w:cs="Simplified Arabic"/>
          <w:sz w:val="28"/>
          <w:szCs w:val="28"/>
        </w:rPr>
        <w:t xml:space="preserve">- </w:t>
      </w:r>
      <w:r w:rsidRPr="00A6325B">
        <w:rPr>
          <w:rFonts w:ascii="Simplified Arabic" w:eastAsia="Times New Roman" w:hAnsi="Simplified Arabic" w:cs="Simplified Arabic"/>
          <w:sz w:val="28"/>
          <w:szCs w:val="28"/>
          <w:rtl/>
        </w:rPr>
        <w:t xml:space="preserve">الموهوب له </w:t>
      </w:r>
      <w:r w:rsidRPr="00A6325B">
        <w:rPr>
          <w:rFonts w:ascii="Times New Roman" w:eastAsia="Times New Roman" w:hAnsi="Times New Roman" w:cs="Simplified Arabic"/>
          <w:sz w:val="28"/>
          <w:szCs w:val="28"/>
        </w:rPr>
        <w:t xml:space="preserve">- </w:t>
      </w:r>
      <w:r w:rsidRPr="00A6325B">
        <w:rPr>
          <w:rFonts w:ascii="Simplified Arabic" w:eastAsia="Times New Roman" w:hAnsi="Simplified Arabic" w:cs="Simplified Arabic"/>
          <w:sz w:val="28"/>
          <w:szCs w:val="28"/>
          <w:rtl/>
        </w:rPr>
        <w:t xml:space="preserve">فوائد شهادات الاستثمار للمطعون عليه الأول </w:t>
      </w:r>
      <w:r w:rsidRPr="00A6325B">
        <w:rPr>
          <w:rFonts w:ascii="Times New Roman" w:eastAsia="Times New Roman" w:hAnsi="Times New Roman" w:cs="Simplified Arabic"/>
          <w:sz w:val="28"/>
          <w:szCs w:val="28"/>
        </w:rPr>
        <w:t>-</w:t>
      </w:r>
      <w:r w:rsidRPr="00A6325B">
        <w:rPr>
          <w:rFonts w:ascii="Simplified Arabic" w:eastAsia="Times New Roman" w:hAnsi="Simplified Arabic" w:cs="Simplified Arabic"/>
          <w:sz w:val="28"/>
          <w:szCs w:val="28"/>
          <w:rtl/>
        </w:rPr>
        <w:t xml:space="preserve">الواهب </w:t>
      </w:r>
      <w:r w:rsidRPr="00A6325B">
        <w:rPr>
          <w:rFonts w:ascii="Times New Roman" w:eastAsia="Times New Roman" w:hAnsi="Times New Roman" w:cs="Simplified Arabic"/>
          <w:sz w:val="28"/>
          <w:szCs w:val="28"/>
        </w:rPr>
        <w:t xml:space="preserve">- </w:t>
      </w:r>
      <w:r w:rsidRPr="00A6325B">
        <w:rPr>
          <w:rFonts w:ascii="Simplified Arabic" w:eastAsia="Times New Roman" w:hAnsi="Simplified Arabic" w:cs="Simplified Arabic"/>
          <w:sz w:val="28"/>
          <w:szCs w:val="28"/>
          <w:rtl/>
        </w:rPr>
        <w:t xml:space="preserve">حسبما هو ثابت فى تحقيق النيابة المودع ملف الدعوى يعتبر جحوداً كبيراً منه يجيز لهذا الأخير الرجوع فى الهبة دون ما حاجة لبحث ما يثيره الطاعن فى شأن توفر سبب آخر من أسباب الرجوع فى الهبة و هو عجز الواهب عن توفير أسباب المعيشة لنفسه و لزوجته </w:t>
      </w:r>
      <w:r w:rsidRPr="00A6325B">
        <w:rPr>
          <w:rFonts w:ascii="Times New Roman" w:eastAsia="Times New Roman" w:hAnsi="Times New Roman" w:cs="Simplified Arabic"/>
          <w:sz w:val="28"/>
          <w:szCs w:val="28"/>
        </w:rPr>
        <w:t xml:space="preserve">. </w:t>
      </w:r>
      <w:r w:rsidRPr="00A6325B">
        <w:rPr>
          <w:rFonts w:ascii="Simplified Arabic" w:eastAsia="Times New Roman" w:hAnsi="Simplified Arabic" w:cs="Simplified Arabic"/>
          <w:sz w:val="28"/>
          <w:szCs w:val="28"/>
          <w:rtl/>
        </w:rPr>
        <w:t xml:space="preserve">و إذ كان مؤدى ذلك أن المحكمة إكتفت بالجحود سبباً للرجوع فى الهبة و اعتبرته متحققاً لمجرد امتناع الطاعن عن الوفاء للواهب بالفوائد المستحقة بصرف النظر عن ملاءة الواهب أو إعساره ، و كان هذا الذى إنتهى إليه الحكم المطعون فيه يقوم على أسباب سائغة تكفى لحمل قضائه فى هذا الخصوص فإن النعى عليه برفضه التحقق من إعسار المطعون عليه الأول يكون غير منتج </w:t>
      </w:r>
      <w:r w:rsidRPr="00A6325B">
        <w:rPr>
          <w:rFonts w:ascii="Times New Roman" w:eastAsia="Times New Roman" w:hAnsi="Times New Roman" w:cs="Simplified Arabic"/>
          <w:sz w:val="28"/>
          <w:szCs w:val="28"/>
        </w:rPr>
        <w:t>.</w:t>
      </w:r>
    </w:p>
    <w:p w:rsidR="00A6325B" w:rsidRPr="00A6325B" w:rsidRDefault="00A6325B" w:rsidP="00A6325B">
      <w:pPr>
        <w:spacing w:after="0" w:line="240" w:lineRule="auto"/>
        <w:jc w:val="lowKashida"/>
        <w:rPr>
          <w:rFonts w:ascii="Times New Roman" w:eastAsia="Times New Roman" w:hAnsi="Times New Roman" w:cs="Simplified Arabic"/>
          <w:sz w:val="28"/>
          <w:szCs w:val="28"/>
          <w:rtl/>
        </w:rPr>
      </w:pPr>
    </w:p>
    <w:p w:rsidR="00A6325B" w:rsidRPr="00A6325B" w:rsidRDefault="00A6325B" w:rsidP="00A6325B">
      <w:pPr>
        <w:spacing w:after="0" w:line="240" w:lineRule="auto"/>
        <w:jc w:val="lowKashida"/>
        <w:rPr>
          <w:rFonts w:ascii="Times New Roman" w:eastAsia="Times New Roman" w:hAnsi="Times New Roman" w:cs="Simplified Arabic"/>
          <w:sz w:val="28"/>
          <w:szCs w:val="28"/>
        </w:rPr>
      </w:pPr>
    </w:p>
    <w:p w:rsidR="00A6325B" w:rsidRPr="00A6325B" w:rsidRDefault="00A6325B" w:rsidP="00A6325B">
      <w:pPr>
        <w:spacing w:after="0" w:line="240" w:lineRule="auto"/>
        <w:jc w:val="lowKashida"/>
        <w:rPr>
          <w:rFonts w:ascii="Simplified Arabic" w:eastAsia="Times New Roman" w:hAnsi="Simplified Arabic" w:cs="Simplified Arabic"/>
          <w:sz w:val="28"/>
          <w:szCs w:val="28"/>
        </w:rPr>
      </w:pPr>
      <w:r w:rsidRPr="00A6325B">
        <w:rPr>
          <w:rFonts w:ascii="Simplified Arabic" w:eastAsia="Times New Roman" w:hAnsi="Simplified Arabic" w:cs="Simplified Arabic"/>
          <w:sz w:val="28"/>
          <w:szCs w:val="28"/>
          <w:rtl/>
        </w:rPr>
        <w:t xml:space="preserve">2-لما كان الثابت أن الطاعن أجاب على الدعوى ـ التى أقامها والده بطلب الحكم بالرجوع فى الهبة </w:t>
      </w:r>
      <w:r w:rsidRPr="00A6325B">
        <w:rPr>
          <w:rFonts w:ascii="Times New Roman" w:eastAsia="Times New Roman" w:hAnsi="Times New Roman" w:cs="Simplified Arabic"/>
          <w:sz w:val="28"/>
          <w:szCs w:val="28"/>
        </w:rPr>
        <w:t xml:space="preserve">- </w:t>
      </w:r>
      <w:r w:rsidRPr="00A6325B">
        <w:rPr>
          <w:rFonts w:ascii="Simplified Arabic" w:eastAsia="Times New Roman" w:hAnsi="Simplified Arabic" w:cs="Simplified Arabic"/>
          <w:sz w:val="28"/>
          <w:szCs w:val="28"/>
          <w:rtl/>
        </w:rPr>
        <w:t xml:space="preserve">بالدفع بهلاك المال الموهوب بما يمتنع معه الرجوع فى الهبة فإنه بذلك يصير مدعياً مطالباً بأن يقيم الدليل على ما يدعيه </w:t>
      </w:r>
      <w:r w:rsidRPr="00A6325B">
        <w:rPr>
          <w:rFonts w:ascii="Times New Roman" w:eastAsia="Times New Roman" w:hAnsi="Times New Roman" w:cs="Simplified Arabic"/>
          <w:sz w:val="28"/>
          <w:szCs w:val="28"/>
        </w:rPr>
        <w:t>.</w:t>
      </w:r>
    </w:p>
    <w:p w:rsidR="00A6325B" w:rsidRPr="00A6325B" w:rsidRDefault="00A6325B" w:rsidP="00A6325B">
      <w:pPr>
        <w:spacing w:after="0" w:line="240" w:lineRule="auto"/>
        <w:jc w:val="lowKashida"/>
        <w:rPr>
          <w:rFonts w:ascii="Simplified Arabic" w:eastAsia="Times New Roman" w:hAnsi="Simplified Arabic" w:cs="Simplified Arabic"/>
          <w:sz w:val="28"/>
          <w:szCs w:val="28"/>
          <w:rtl/>
        </w:rPr>
      </w:pPr>
    </w:p>
    <w:p w:rsidR="00A6325B" w:rsidRPr="00A6325B" w:rsidRDefault="00A6325B" w:rsidP="00A6325B">
      <w:pPr>
        <w:spacing w:after="0" w:line="240" w:lineRule="auto"/>
        <w:jc w:val="center"/>
        <w:rPr>
          <w:rFonts w:ascii="Times New Roman" w:eastAsia="Times New Roman" w:hAnsi="Times New Roman" w:cs="Simplified Arabic"/>
          <w:sz w:val="24"/>
          <w:szCs w:val="24"/>
          <w:rtl/>
        </w:rPr>
      </w:pPr>
      <w:r w:rsidRPr="00A6325B">
        <w:rPr>
          <w:rFonts w:ascii="Simplified Arabic" w:eastAsia="Times New Roman" w:hAnsi="Simplified Arabic" w:cs="Simplified Arabic"/>
          <w:sz w:val="24"/>
          <w:szCs w:val="24"/>
          <w:rtl/>
        </w:rPr>
        <w:lastRenderedPageBreak/>
        <w:t>" سنة المكتب الفنى "  30 " رقم الصفحة -  778 -  قاعدة رقم –   -  "</w:t>
      </w:r>
    </w:p>
    <w:p w:rsidR="00A6325B" w:rsidRPr="00A6325B" w:rsidRDefault="00A6325B" w:rsidP="00A6325B">
      <w:pPr>
        <w:spacing w:after="0" w:line="240" w:lineRule="auto"/>
        <w:jc w:val="lowKashida"/>
        <w:rPr>
          <w:rFonts w:ascii="Times New Roman" w:eastAsia="Times New Roman" w:hAnsi="Times New Roman" w:cs="Simplified Arabic"/>
          <w:sz w:val="28"/>
          <w:szCs w:val="28"/>
        </w:rPr>
      </w:pPr>
    </w:p>
    <w:p w:rsidR="00A6325B" w:rsidRPr="00A6325B" w:rsidRDefault="00A6325B" w:rsidP="00A6325B">
      <w:pPr>
        <w:spacing w:after="0" w:line="240" w:lineRule="auto"/>
        <w:rPr>
          <w:rFonts w:ascii="Times New Roman" w:eastAsia="Times New Roman" w:hAnsi="Times New Roman" w:cs="Times New Roman"/>
          <w:sz w:val="24"/>
          <w:szCs w:val="24"/>
        </w:rPr>
      </w:pPr>
    </w:p>
    <w:p w:rsidR="003E5EDE" w:rsidRPr="00A6325B" w:rsidRDefault="003E5EDE">
      <w:bookmarkStart w:id="0" w:name="_GoBack"/>
      <w:bookmarkEnd w:id="0"/>
    </w:p>
    <w:sectPr w:rsidR="003E5EDE" w:rsidRPr="00A6325B"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30A"/>
    <w:rsid w:val="0003272B"/>
    <w:rsid w:val="003E5EDE"/>
    <w:rsid w:val="0073630A"/>
    <w:rsid w:val="00A632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08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2020-06-03T13:55:00Z</dcterms:created>
  <dcterms:modified xsi:type="dcterms:W3CDTF">2020-06-03T13:55:00Z</dcterms:modified>
</cp:coreProperties>
</file>