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9D" w:rsidRPr="004D389D" w:rsidRDefault="004D389D" w:rsidP="004D389D">
      <w:pPr>
        <w:spacing w:after="0" w:line="240" w:lineRule="auto"/>
        <w:jc w:val="center"/>
        <w:rPr>
          <w:rFonts w:ascii="Times New Roman" w:eastAsia="Times New Roman" w:hAnsi="Times New Roman" w:cs="PT Bold Heading"/>
          <w:b/>
          <w:bCs/>
          <w:color w:val="008000"/>
          <w:sz w:val="32"/>
          <w:szCs w:val="32"/>
          <w:lang w:eastAsia="ar-SA"/>
        </w:rPr>
      </w:pPr>
      <w:r w:rsidRPr="004D389D">
        <w:rPr>
          <w:rFonts w:ascii="Times New Roman" w:eastAsia="Times New Roman" w:hAnsi="Times New Roman" w:cs="PT Bold Heading" w:hint="cs"/>
          <w:b/>
          <w:bCs/>
          <w:color w:val="008000"/>
          <w:sz w:val="32"/>
          <w:szCs w:val="32"/>
          <w:rtl/>
          <w:lang w:eastAsia="ar-SA"/>
        </w:rPr>
        <w:t>الطعن رقم 61 لسنة 41 ق ، جلسة5 -3-1979</w:t>
      </w:r>
    </w:p>
    <w:p w:rsidR="004D389D" w:rsidRPr="004D389D" w:rsidRDefault="004D389D" w:rsidP="004D389D">
      <w:pPr>
        <w:spacing w:after="0" w:line="240" w:lineRule="auto"/>
        <w:jc w:val="center"/>
        <w:rPr>
          <w:rFonts w:ascii="Times New Roman" w:eastAsia="Times New Roman" w:hAnsi="Times New Roman" w:cs="PT Bold Heading"/>
          <w:b/>
          <w:bCs/>
          <w:color w:val="008000"/>
          <w:sz w:val="32"/>
          <w:szCs w:val="32"/>
          <w:lang w:eastAsia="ar-SA"/>
        </w:rPr>
      </w:pPr>
      <w:r w:rsidRPr="004D389D">
        <w:rPr>
          <w:rFonts w:ascii="Times New Roman" w:eastAsia="Times New Roman" w:hAnsi="Times New Roman" w:cs="PT Bold Heading" w:hint="cs"/>
          <w:b/>
          <w:bCs/>
          <w:color w:val="008000"/>
          <w:sz w:val="32"/>
          <w:szCs w:val="32"/>
          <w:rtl/>
          <w:lang w:eastAsia="ar-SA"/>
        </w:rPr>
        <w:t>الموضوع ،  و  الموجز :</w:t>
      </w:r>
    </w:p>
    <w:p w:rsidR="004D389D" w:rsidRPr="004D389D" w:rsidRDefault="004D389D" w:rsidP="004D389D">
      <w:pPr>
        <w:spacing w:after="0" w:line="240" w:lineRule="auto"/>
        <w:jc w:val="lowKashida"/>
        <w:rPr>
          <w:rFonts w:ascii="Times New Roman" w:eastAsia="Times New Roman" w:hAnsi="Times New Roman" w:cs="Simplified Arabic"/>
          <w:b/>
          <w:bCs/>
          <w:sz w:val="32"/>
          <w:szCs w:val="32"/>
        </w:rPr>
      </w:pPr>
    </w:p>
    <w:p w:rsidR="004D389D" w:rsidRPr="004D389D" w:rsidRDefault="004D389D" w:rsidP="004D389D">
      <w:pPr>
        <w:spacing w:after="0" w:line="240" w:lineRule="auto"/>
        <w:jc w:val="lowKashida"/>
        <w:rPr>
          <w:rFonts w:ascii="Times New Roman" w:eastAsia="Times New Roman" w:hAnsi="Times New Roman" w:cs="Simplified Arabic"/>
          <w:b/>
          <w:bCs/>
          <w:sz w:val="28"/>
          <w:szCs w:val="28"/>
        </w:rPr>
      </w:pPr>
      <w:r w:rsidRPr="004D389D">
        <w:rPr>
          <w:rFonts w:ascii="Simplified Arabic" w:eastAsia="Times New Roman" w:hAnsi="Simplified Arabic" w:cs="Simplified Arabic"/>
          <w:b/>
          <w:bCs/>
          <w:sz w:val="32"/>
          <w:szCs w:val="32"/>
          <w:rtl/>
        </w:rPr>
        <w:t xml:space="preserve">(1) </w:t>
      </w:r>
      <w:r w:rsidRPr="004D389D">
        <w:rPr>
          <w:rFonts w:ascii="Simplified Arabic" w:eastAsia="Times New Roman" w:hAnsi="Simplified Arabic" w:cs="Simplified Arabic"/>
          <w:b/>
          <w:bCs/>
          <w:sz w:val="28"/>
          <w:szCs w:val="24"/>
          <w:rtl/>
        </w:rPr>
        <w:t xml:space="preserve">   </w:t>
      </w:r>
      <w:r w:rsidRPr="004D389D">
        <w:rPr>
          <w:rFonts w:ascii="Simplified Arabic" w:eastAsia="Times New Roman" w:hAnsi="Simplified Arabic" w:cs="Simplified Arabic"/>
          <w:b/>
          <w:bCs/>
          <w:sz w:val="28"/>
          <w:szCs w:val="28"/>
          <w:rtl/>
        </w:rPr>
        <w:t>دستور</w:t>
      </w:r>
    </w:p>
    <w:p w:rsidR="004D389D" w:rsidRPr="004D389D" w:rsidRDefault="004D389D" w:rsidP="004D389D">
      <w:pPr>
        <w:spacing w:after="0" w:line="240" w:lineRule="auto"/>
        <w:jc w:val="lowKashida"/>
        <w:rPr>
          <w:rFonts w:ascii="Times New Roman" w:eastAsia="Times New Roman" w:hAnsi="Times New Roman" w:cs="Simplified Arabic"/>
          <w:sz w:val="28"/>
          <w:szCs w:val="28"/>
        </w:rPr>
      </w:pPr>
      <w:proofErr w:type="gramStart"/>
      <w:r w:rsidRPr="004D389D">
        <w:rPr>
          <w:rFonts w:ascii="Times New Roman" w:eastAsia="Times New Roman" w:hAnsi="Times New Roman" w:cs="Simplified Arabic"/>
          <w:sz w:val="28"/>
          <w:szCs w:val="28"/>
        </w:rPr>
        <w:t>-</w:t>
      </w:r>
      <w:r w:rsidRPr="004D389D">
        <w:rPr>
          <w:rFonts w:ascii="Simplified Arabic" w:eastAsia="Times New Roman" w:hAnsi="Simplified Arabic" w:cs="Simplified Arabic"/>
          <w:sz w:val="28"/>
          <w:szCs w:val="28"/>
          <w:rtl/>
        </w:rPr>
        <w:t xml:space="preserve"> الأحكام المنظمة للمنفعة ليس فيها ما يخالف القانون أو الدستور قضاء المحكمة العليا الصادر فى 1971/3/6.</w:t>
      </w:r>
      <w:proofErr w:type="gramEnd"/>
    </w:p>
    <w:p w:rsidR="004D389D" w:rsidRPr="004D389D" w:rsidRDefault="004D389D" w:rsidP="004D389D">
      <w:pPr>
        <w:spacing w:after="0" w:line="240" w:lineRule="auto"/>
        <w:jc w:val="lowKashida"/>
        <w:rPr>
          <w:rFonts w:ascii="Simplified Arabic" w:eastAsia="Times New Roman" w:hAnsi="Simplified Arabic" w:cs="Simplified Arabic"/>
          <w:b/>
          <w:bCs/>
          <w:sz w:val="28"/>
          <w:szCs w:val="24"/>
        </w:rPr>
      </w:pPr>
    </w:p>
    <w:p w:rsidR="004D389D" w:rsidRPr="004D389D" w:rsidRDefault="004D389D" w:rsidP="004D389D">
      <w:pPr>
        <w:spacing w:after="0" w:line="240" w:lineRule="auto"/>
        <w:jc w:val="lowKashida"/>
        <w:rPr>
          <w:rFonts w:ascii="Times New Roman" w:eastAsia="Times New Roman" w:hAnsi="Times New Roman" w:cs="Simplified Arabic"/>
          <w:b/>
          <w:bCs/>
          <w:sz w:val="28"/>
          <w:szCs w:val="24"/>
          <w:rtl/>
        </w:rPr>
      </w:pPr>
    </w:p>
    <w:p w:rsidR="004D389D" w:rsidRPr="004D389D" w:rsidRDefault="004D389D" w:rsidP="004D389D">
      <w:pPr>
        <w:spacing w:after="0" w:line="240" w:lineRule="auto"/>
        <w:jc w:val="lowKashida"/>
        <w:rPr>
          <w:rFonts w:ascii="Simplified Arabic" w:eastAsia="Times New Roman" w:hAnsi="Simplified Arabic" w:cs="Simplified Arabic"/>
          <w:b/>
          <w:bCs/>
          <w:sz w:val="28"/>
          <w:szCs w:val="24"/>
        </w:rPr>
      </w:pPr>
      <w:r w:rsidRPr="004D389D">
        <w:rPr>
          <w:rFonts w:ascii="Simplified Arabic" w:eastAsia="Times New Roman" w:hAnsi="Simplified Arabic" w:cs="Simplified Arabic"/>
          <w:b/>
          <w:bCs/>
          <w:sz w:val="32"/>
          <w:szCs w:val="32"/>
          <w:rtl/>
        </w:rPr>
        <w:t xml:space="preserve">(2) </w:t>
      </w:r>
      <w:r w:rsidRPr="004D389D">
        <w:rPr>
          <w:rFonts w:ascii="Simplified Arabic" w:eastAsia="Times New Roman" w:hAnsi="Simplified Arabic" w:cs="Simplified Arabic"/>
          <w:b/>
          <w:bCs/>
          <w:sz w:val="28"/>
          <w:szCs w:val="24"/>
          <w:rtl/>
        </w:rPr>
        <w:t xml:space="preserve">   </w:t>
      </w:r>
      <w:r w:rsidRPr="004D389D">
        <w:rPr>
          <w:rFonts w:ascii="Simplified Arabic" w:eastAsia="Times New Roman" w:hAnsi="Simplified Arabic" w:cs="Simplified Arabic"/>
          <w:b/>
          <w:bCs/>
          <w:sz w:val="28"/>
          <w:szCs w:val="28"/>
          <w:rtl/>
        </w:rPr>
        <w:t>شفعة</w:t>
      </w:r>
    </w:p>
    <w:p w:rsidR="004D389D" w:rsidRPr="004D389D" w:rsidRDefault="004D389D" w:rsidP="004D389D">
      <w:pPr>
        <w:spacing w:after="0" w:line="240" w:lineRule="auto"/>
        <w:jc w:val="lowKashida"/>
        <w:rPr>
          <w:rFonts w:ascii="Times New Roman" w:eastAsia="Times New Roman" w:hAnsi="Times New Roman" w:cs="Simplified Arabic"/>
          <w:sz w:val="28"/>
          <w:szCs w:val="28"/>
          <w:rtl/>
        </w:rPr>
      </w:pPr>
      <w:r w:rsidRPr="004D389D">
        <w:rPr>
          <w:rFonts w:ascii="Times New Roman" w:eastAsia="Times New Roman" w:hAnsi="Times New Roman" w:cs="Simplified Arabic"/>
          <w:sz w:val="28"/>
          <w:szCs w:val="28"/>
        </w:rPr>
        <w:t>-</w:t>
      </w:r>
      <w:r w:rsidRPr="004D389D">
        <w:rPr>
          <w:rFonts w:ascii="Simplified Arabic" w:eastAsia="Times New Roman" w:hAnsi="Simplified Arabic" w:cs="Simplified Arabic"/>
          <w:sz w:val="28"/>
          <w:szCs w:val="28"/>
          <w:rtl/>
        </w:rPr>
        <w:t xml:space="preserve"> للشريك على الشيوع حق طلب الشفعة فى العقار المجاور ولو لم يشترك معه فى طلبها باقى الشركاء لا يغير من ذلك أن تسفر القسمة فيما بعد عن حرمانه من الجزء المجاور للعقار المشفوع </w:t>
      </w:r>
      <w:proofErr w:type="gramStart"/>
      <w:r w:rsidRPr="004D389D">
        <w:rPr>
          <w:rFonts w:ascii="Simplified Arabic" w:eastAsia="Times New Roman" w:hAnsi="Simplified Arabic" w:cs="Simplified Arabic"/>
          <w:sz w:val="28"/>
          <w:szCs w:val="28"/>
          <w:rtl/>
        </w:rPr>
        <w:t>فيه .</w:t>
      </w:r>
      <w:proofErr w:type="gramEnd"/>
    </w:p>
    <w:p w:rsidR="004D389D" w:rsidRPr="004D389D" w:rsidRDefault="004D389D" w:rsidP="004D389D">
      <w:pPr>
        <w:spacing w:after="0" w:line="240" w:lineRule="auto"/>
        <w:jc w:val="lowKashida"/>
        <w:rPr>
          <w:rFonts w:ascii="Simplified Arabic" w:eastAsia="Times New Roman" w:hAnsi="Simplified Arabic" w:cs="Simplified Arabic"/>
          <w:b/>
          <w:bCs/>
          <w:sz w:val="28"/>
          <w:szCs w:val="24"/>
        </w:rPr>
      </w:pPr>
    </w:p>
    <w:p w:rsidR="004D389D" w:rsidRPr="004D389D" w:rsidRDefault="004D389D" w:rsidP="004D389D">
      <w:pPr>
        <w:spacing w:after="0" w:line="240" w:lineRule="auto"/>
        <w:jc w:val="lowKashida"/>
        <w:rPr>
          <w:rFonts w:ascii="Simplified Arabic" w:eastAsia="Times New Roman" w:hAnsi="Simplified Arabic" w:cs="Simplified Arabic"/>
          <w:b/>
          <w:bCs/>
          <w:sz w:val="28"/>
          <w:szCs w:val="24"/>
          <w:rtl/>
        </w:rPr>
      </w:pPr>
    </w:p>
    <w:p w:rsidR="004D389D" w:rsidRPr="004D389D" w:rsidRDefault="004D389D" w:rsidP="004D389D">
      <w:pPr>
        <w:spacing w:after="0" w:line="240" w:lineRule="auto"/>
        <w:jc w:val="lowKashida"/>
        <w:rPr>
          <w:rFonts w:ascii="Times New Roman" w:eastAsia="Times New Roman" w:hAnsi="Times New Roman" w:cs="Simplified Arabic"/>
          <w:b/>
          <w:bCs/>
          <w:sz w:val="28"/>
          <w:szCs w:val="24"/>
          <w:rtl/>
        </w:rPr>
      </w:pPr>
      <w:r w:rsidRPr="004D389D">
        <w:rPr>
          <w:rFonts w:ascii="Simplified Arabic" w:eastAsia="Times New Roman" w:hAnsi="Simplified Arabic" w:cs="Simplified Arabic"/>
          <w:b/>
          <w:bCs/>
          <w:sz w:val="32"/>
          <w:szCs w:val="32"/>
          <w:rtl/>
        </w:rPr>
        <w:t xml:space="preserve">(3) </w:t>
      </w:r>
      <w:r w:rsidRPr="004D389D">
        <w:rPr>
          <w:rFonts w:ascii="Simplified Arabic" w:eastAsia="Times New Roman" w:hAnsi="Simplified Arabic" w:cs="Simplified Arabic"/>
          <w:b/>
          <w:bCs/>
          <w:sz w:val="28"/>
          <w:szCs w:val="24"/>
          <w:rtl/>
        </w:rPr>
        <w:t xml:space="preserve">   </w:t>
      </w:r>
      <w:r w:rsidRPr="004D389D">
        <w:rPr>
          <w:rFonts w:ascii="Simplified Arabic" w:eastAsia="Times New Roman" w:hAnsi="Simplified Arabic" w:cs="Simplified Arabic"/>
          <w:b/>
          <w:bCs/>
          <w:sz w:val="28"/>
          <w:szCs w:val="28"/>
          <w:rtl/>
        </w:rPr>
        <w:t>شفعة</w:t>
      </w:r>
    </w:p>
    <w:p w:rsidR="004D389D" w:rsidRPr="004D389D" w:rsidRDefault="004D389D" w:rsidP="004D389D">
      <w:pPr>
        <w:spacing w:after="0" w:line="240" w:lineRule="auto"/>
        <w:jc w:val="lowKashida"/>
        <w:rPr>
          <w:rFonts w:ascii="Times New Roman" w:eastAsia="Times New Roman" w:hAnsi="Times New Roman" w:cs="Simplified Arabic"/>
          <w:sz w:val="28"/>
          <w:szCs w:val="28"/>
        </w:rPr>
      </w:pPr>
      <w:r w:rsidRPr="004D389D">
        <w:rPr>
          <w:rFonts w:ascii="Times New Roman" w:eastAsia="Times New Roman" w:hAnsi="Times New Roman" w:cs="Simplified Arabic"/>
          <w:sz w:val="28"/>
          <w:szCs w:val="28"/>
        </w:rPr>
        <w:t>-</w:t>
      </w:r>
      <w:r w:rsidRPr="004D389D">
        <w:rPr>
          <w:rFonts w:ascii="Simplified Arabic" w:eastAsia="Times New Roman" w:hAnsi="Simplified Arabic" w:cs="Simplified Arabic"/>
          <w:sz w:val="28"/>
          <w:szCs w:val="28"/>
          <w:rtl/>
        </w:rPr>
        <w:t xml:space="preserve"> العبرة فى الشفعة هى بحالة العقار المشفوع فيه وقت بيعه ، إقامة المشترى على العقار المشفوع فيه بناء أو غرسه فيه أشجار سواء قبل أو بعد إعلان الرغبة من الشفيع لا يحول دون الحكم له بالشفعة طالما توافرت لديه أسبابها وأستوفى </w:t>
      </w:r>
      <w:proofErr w:type="gramStart"/>
      <w:r w:rsidRPr="004D389D">
        <w:rPr>
          <w:rFonts w:ascii="Simplified Arabic" w:eastAsia="Times New Roman" w:hAnsi="Simplified Arabic" w:cs="Simplified Arabic"/>
          <w:sz w:val="28"/>
          <w:szCs w:val="28"/>
          <w:rtl/>
        </w:rPr>
        <w:t>إجراءاتها .</w:t>
      </w:r>
      <w:proofErr w:type="gramEnd"/>
    </w:p>
    <w:p w:rsidR="004D389D" w:rsidRPr="004D389D" w:rsidRDefault="004D389D" w:rsidP="004D389D">
      <w:pPr>
        <w:spacing w:after="0" w:line="240" w:lineRule="auto"/>
        <w:jc w:val="lowKashida"/>
        <w:rPr>
          <w:rFonts w:ascii="Simplified Arabic" w:eastAsia="Times New Roman" w:hAnsi="Simplified Arabic" w:cs="Simplified Arabic"/>
          <w:b/>
          <w:bCs/>
          <w:sz w:val="28"/>
          <w:szCs w:val="24"/>
        </w:rPr>
      </w:pPr>
    </w:p>
    <w:p w:rsidR="004D389D" w:rsidRPr="004D389D" w:rsidRDefault="004D389D" w:rsidP="004D389D">
      <w:pPr>
        <w:spacing w:after="0" w:line="240" w:lineRule="auto"/>
        <w:jc w:val="center"/>
        <w:rPr>
          <w:rFonts w:ascii="Times New Roman" w:eastAsia="Times New Roman" w:hAnsi="Times New Roman" w:cs="PT Bold Heading"/>
          <w:b/>
          <w:bCs/>
          <w:color w:val="008000"/>
          <w:sz w:val="32"/>
          <w:szCs w:val="32"/>
          <w:rtl/>
          <w:lang w:eastAsia="ar-SA"/>
        </w:rPr>
      </w:pPr>
      <w:r w:rsidRPr="004D389D">
        <w:rPr>
          <w:rFonts w:ascii="Times New Roman" w:eastAsia="Times New Roman" w:hAnsi="Times New Roman" w:cs="PT Bold Heading" w:hint="cs"/>
          <w:b/>
          <w:bCs/>
          <w:color w:val="008000"/>
          <w:sz w:val="32"/>
          <w:szCs w:val="32"/>
          <w:rtl/>
          <w:lang w:eastAsia="ar-SA"/>
        </w:rPr>
        <w:t>القاعدة</w:t>
      </w:r>
    </w:p>
    <w:p w:rsidR="004D389D" w:rsidRPr="004D389D" w:rsidRDefault="004D389D" w:rsidP="004D389D">
      <w:pPr>
        <w:spacing w:after="0" w:line="240" w:lineRule="auto"/>
        <w:jc w:val="lowKashida"/>
        <w:rPr>
          <w:rFonts w:ascii="Times New Roman" w:eastAsia="Times New Roman" w:hAnsi="Times New Roman" w:cs="Simplified Arabic" w:hint="cs"/>
          <w:sz w:val="28"/>
          <w:szCs w:val="28"/>
          <w:rtl/>
        </w:rPr>
      </w:pPr>
      <w:r w:rsidRPr="004D389D">
        <w:rPr>
          <w:rFonts w:ascii="Simplified Arabic" w:eastAsia="Times New Roman" w:hAnsi="Simplified Arabic" w:cs="Simplified Arabic"/>
          <w:sz w:val="28"/>
          <w:szCs w:val="28"/>
          <w:rtl/>
        </w:rPr>
        <w:t>1- إذا كانت المحكمة العليا قد انتهت فى حكمها للصادر بتاريخ 1971-3-6 فى الدعوى رقم 3 سنة 1 ق إلى رفض الطعن بعدم دستورية نظام الشفعة تأسيساً على أن حق الشفعة ليس فيه خروج على مبدأ المساواة أمام القانون و لا يخالف مبدأ تكافؤ الفرص الذى أقره الدستور فإن النعى بعدم الدستورية يكون غير سديد .</w:t>
      </w:r>
    </w:p>
    <w:p w:rsidR="004D389D" w:rsidRPr="004D389D" w:rsidRDefault="004D389D" w:rsidP="004D389D">
      <w:pPr>
        <w:spacing w:after="0" w:line="240" w:lineRule="auto"/>
        <w:jc w:val="lowKashida"/>
        <w:rPr>
          <w:rFonts w:ascii="Times New Roman" w:eastAsia="Times New Roman" w:hAnsi="Times New Roman" w:cs="Simplified Arabic"/>
          <w:sz w:val="28"/>
          <w:szCs w:val="28"/>
        </w:rPr>
      </w:pPr>
    </w:p>
    <w:p w:rsidR="004D389D" w:rsidRPr="004D389D" w:rsidRDefault="004D389D" w:rsidP="004D389D">
      <w:pPr>
        <w:spacing w:after="0" w:line="240" w:lineRule="auto"/>
        <w:jc w:val="lowKashida"/>
        <w:rPr>
          <w:rFonts w:ascii="Times New Roman" w:eastAsia="Times New Roman" w:hAnsi="Times New Roman" w:cs="Simplified Arabic"/>
          <w:sz w:val="28"/>
          <w:szCs w:val="28"/>
        </w:rPr>
      </w:pPr>
      <w:r w:rsidRPr="004D389D">
        <w:rPr>
          <w:rFonts w:ascii="Simplified Arabic" w:eastAsia="Times New Roman" w:hAnsi="Simplified Arabic" w:cs="Simplified Arabic"/>
          <w:sz w:val="28"/>
          <w:szCs w:val="28"/>
          <w:rtl/>
        </w:rPr>
        <w:t xml:space="preserve">2- المالك على الشيوع يملك بقدر نصيبه فى كل ذرة من العقار المشاع من ثم فإنه يجوز له أن يطلب الشفعة فى العقار المجاور و لو لم يشترك معه فى طلبها باقى شركائه فى الملك و لا يؤثر فى ذلك احتمال أن تسفر القيمة فيما بعد من حرمانه من الجزء المجاور للعقار المشفوع لأن القانون إنما يشترط أن يكون الشفيع مالكاً لما يشفع به وقت بيع العقار المشفوع و أن يبقى مالكاً لحين الأخذ بالشفعة و بقاء الجوار ليس شرطاً لبقاء الاستحقاق . </w:t>
      </w:r>
    </w:p>
    <w:p w:rsidR="004D389D" w:rsidRPr="004D389D" w:rsidRDefault="004D389D" w:rsidP="004D389D">
      <w:pPr>
        <w:spacing w:after="0" w:line="240" w:lineRule="auto"/>
        <w:jc w:val="lowKashida"/>
        <w:rPr>
          <w:rFonts w:ascii="Times New Roman" w:eastAsia="Times New Roman" w:hAnsi="Times New Roman" w:cs="Simplified Arabic"/>
          <w:sz w:val="28"/>
          <w:szCs w:val="28"/>
        </w:rPr>
      </w:pPr>
    </w:p>
    <w:p w:rsidR="004D389D" w:rsidRPr="004D389D" w:rsidRDefault="004D389D" w:rsidP="004D389D">
      <w:pPr>
        <w:spacing w:after="0" w:line="240" w:lineRule="auto"/>
        <w:jc w:val="lowKashida"/>
        <w:rPr>
          <w:rFonts w:ascii="Times New Roman" w:eastAsia="Times New Roman" w:hAnsi="Times New Roman" w:cs="Simplified Arabic"/>
          <w:sz w:val="28"/>
          <w:szCs w:val="28"/>
        </w:rPr>
      </w:pPr>
      <w:r w:rsidRPr="004D389D">
        <w:rPr>
          <w:rFonts w:ascii="Simplified Arabic" w:eastAsia="Times New Roman" w:hAnsi="Simplified Arabic" w:cs="Simplified Arabic"/>
          <w:sz w:val="28"/>
          <w:szCs w:val="28"/>
          <w:rtl/>
        </w:rPr>
        <w:t>3- العبرة فى الشفعة هى بحالة العقار المشفوع فيه وقت بيعه ، فإذا أقام المشترى عليه بناء أو غرس فيه أشجار سواء قبل أو بعد إعلان الرغبة ، فإن ذلك لا يحول دون الحكم للشفيع بأحقيته فى الشفعة طالما قد توفرت لديه أسبابها و أستوفى أجراءتها القانونية و آية ذلك أن المشرع قد عالج هذه الحالة كأثر من الأثار المترتبة  على الحكم بثبوت الشفعة فنص فى المادة 946 من القانون المدني على أنه " 1 - إذا بنى المشترى فى العقار المشفوع أو غرس فيه أشجار قبل إعلان الرغبة فى الشفعة كان المشفوع ملزماً تبعاً لما يختاره المشترى أن يدفع له أما المبلغ الذى أنفقه أو مقدار ما زاد فى قيمة العقار بسبب البناء أو الغراس . 2- أما أن يطلب الإزالة ، فإذا إختار أن يستبقى فى البناء أو الغراس فلا يلزم إلا بدفع قيمة أدوات البناء و أجره العمل أو نفقات الغراس " .</w:t>
      </w:r>
    </w:p>
    <w:p w:rsidR="004D389D" w:rsidRPr="004D389D" w:rsidRDefault="004D389D" w:rsidP="004D389D">
      <w:pPr>
        <w:spacing w:after="0" w:line="240" w:lineRule="auto"/>
        <w:jc w:val="lowKashida"/>
        <w:rPr>
          <w:rFonts w:ascii="Times New Roman" w:eastAsia="Times New Roman" w:hAnsi="Times New Roman" w:cs="Simplified Arabic"/>
          <w:sz w:val="28"/>
          <w:szCs w:val="28"/>
        </w:rPr>
      </w:pPr>
    </w:p>
    <w:p w:rsidR="004D389D" w:rsidRPr="004D389D" w:rsidRDefault="004D389D" w:rsidP="004D389D">
      <w:pPr>
        <w:spacing w:after="0" w:line="240" w:lineRule="auto"/>
        <w:jc w:val="center"/>
        <w:rPr>
          <w:rFonts w:ascii="Times New Roman" w:eastAsia="Times New Roman" w:hAnsi="Times New Roman" w:cs="Simplified Arabic"/>
          <w:sz w:val="24"/>
          <w:szCs w:val="24"/>
        </w:rPr>
      </w:pPr>
      <w:r w:rsidRPr="004D389D">
        <w:rPr>
          <w:rFonts w:ascii="Simplified Arabic" w:eastAsia="Times New Roman" w:hAnsi="Simplified Arabic" w:cs="Simplified Arabic"/>
          <w:sz w:val="24"/>
          <w:szCs w:val="24"/>
          <w:rtl/>
        </w:rPr>
        <w:t>" سنة المكتب الفنى "  30 " رقم الصفحة - 708  -  قاعدة رقم –   -  "</w:t>
      </w:r>
    </w:p>
    <w:p w:rsidR="004D389D" w:rsidRPr="004D389D" w:rsidRDefault="004D389D" w:rsidP="004D389D">
      <w:pPr>
        <w:spacing w:after="0" w:line="240" w:lineRule="auto"/>
        <w:rPr>
          <w:rFonts w:ascii="Times New Roman" w:eastAsia="Times New Roman" w:hAnsi="Times New Roman" w:cs="Times New Roman"/>
          <w:sz w:val="24"/>
          <w:szCs w:val="24"/>
        </w:rPr>
      </w:pPr>
    </w:p>
    <w:p w:rsidR="003E5EDE" w:rsidRPr="004D389D" w:rsidRDefault="003E5EDE">
      <w:bookmarkStart w:id="0" w:name="_GoBack"/>
      <w:bookmarkEnd w:id="0"/>
    </w:p>
    <w:sectPr w:rsidR="003E5EDE" w:rsidRPr="004D389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C8"/>
    <w:rsid w:val="0003272B"/>
    <w:rsid w:val="003E5EDE"/>
    <w:rsid w:val="003F3EC8"/>
    <w:rsid w:val="004D3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2020-06-03T13:57:00Z</dcterms:created>
  <dcterms:modified xsi:type="dcterms:W3CDTF">2020-06-03T13:57:00Z</dcterms:modified>
</cp:coreProperties>
</file>