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F1" w:rsidRPr="001C01F1" w:rsidRDefault="001C01F1" w:rsidP="001C01F1">
      <w:pPr>
        <w:spacing w:after="0" w:line="240" w:lineRule="auto"/>
        <w:jc w:val="center"/>
        <w:rPr>
          <w:rFonts w:ascii="Times New Roman" w:eastAsia="Times New Roman" w:hAnsi="Times New Roman" w:cs="PT Bold Heading"/>
          <w:b/>
          <w:bCs/>
          <w:color w:val="008000"/>
          <w:sz w:val="32"/>
          <w:szCs w:val="32"/>
          <w:lang w:eastAsia="ar-SA"/>
        </w:rPr>
      </w:pPr>
      <w:r w:rsidRPr="001C01F1">
        <w:rPr>
          <w:rFonts w:ascii="Times New Roman" w:eastAsia="Times New Roman" w:hAnsi="Times New Roman" w:cs="PT Bold Heading" w:hint="cs"/>
          <w:b/>
          <w:bCs/>
          <w:color w:val="008000"/>
          <w:sz w:val="32"/>
          <w:szCs w:val="32"/>
          <w:rtl/>
          <w:lang w:eastAsia="ar-SA"/>
        </w:rPr>
        <w:t xml:space="preserve">الطعن رقم 54 لسنة 46 ق </w:t>
      </w:r>
      <w:r w:rsidRPr="001C01F1">
        <w:rPr>
          <w:rFonts w:ascii="Times New Roman" w:eastAsia="Times New Roman" w:hAnsi="Times New Roman" w:cs="Times New Roman" w:hint="cs"/>
          <w:b/>
          <w:bCs/>
          <w:color w:val="008000"/>
          <w:sz w:val="32"/>
          <w:szCs w:val="32"/>
          <w:rtl/>
          <w:lang w:eastAsia="ar-SA"/>
        </w:rPr>
        <w:t>-</w:t>
      </w:r>
      <w:r w:rsidRPr="001C01F1">
        <w:rPr>
          <w:rFonts w:ascii="Times New Roman" w:eastAsia="Times New Roman" w:hAnsi="Times New Roman" w:cs="PT Bold Heading" w:hint="cs"/>
          <w:b/>
          <w:bCs/>
          <w:color w:val="008000"/>
          <w:sz w:val="32"/>
          <w:szCs w:val="32"/>
          <w:rtl/>
          <w:lang w:eastAsia="ar-SA"/>
        </w:rPr>
        <w:t xml:space="preserve"> جلسة 17-3-1979</w:t>
      </w:r>
    </w:p>
    <w:p w:rsidR="001C01F1" w:rsidRPr="001C01F1" w:rsidRDefault="001C01F1" w:rsidP="001C01F1">
      <w:pPr>
        <w:spacing w:after="0" w:line="240" w:lineRule="auto"/>
        <w:jc w:val="center"/>
        <w:rPr>
          <w:rFonts w:ascii="Times New Roman" w:eastAsia="Times New Roman" w:hAnsi="Times New Roman" w:cs="PT Bold Heading"/>
          <w:b/>
          <w:bCs/>
          <w:color w:val="008000"/>
          <w:sz w:val="32"/>
          <w:szCs w:val="32"/>
          <w:lang w:eastAsia="ar-SA"/>
        </w:rPr>
      </w:pPr>
      <w:r w:rsidRPr="001C01F1">
        <w:rPr>
          <w:rFonts w:ascii="Times New Roman" w:eastAsia="Times New Roman" w:hAnsi="Times New Roman" w:cs="PT Bold Heading" w:hint="cs"/>
          <w:b/>
          <w:bCs/>
          <w:color w:val="008000"/>
          <w:sz w:val="32"/>
          <w:szCs w:val="32"/>
          <w:rtl/>
          <w:lang w:eastAsia="ar-SA"/>
        </w:rPr>
        <w:t>الموضوع ،  و  الموجز :</w:t>
      </w:r>
    </w:p>
    <w:p w:rsidR="001C01F1" w:rsidRPr="001C01F1" w:rsidRDefault="001C01F1" w:rsidP="001C01F1">
      <w:pPr>
        <w:spacing w:after="0" w:line="240" w:lineRule="auto"/>
        <w:jc w:val="lowKashida"/>
        <w:rPr>
          <w:rFonts w:ascii="Times New Roman" w:eastAsia="Times New Roman" w:hAnsi="Times New Roman" w:cs="Simplified Arabic"/>
          <w:b/>
          <w:bCs/>
          <w:sz w:val="32"/>
          <w:szCs w:val="32"/>
        </w:rPr>
      </w:pPr>
    </w:p>
    <w:p w:rsidR="001C01F1" w:rsidRPr="001C01F1" w:rsidRDefault="001C01F1" w:rsidP="001C01F1">
      <w:pPr>
        <w:spacing w:after="0" w:line="240" w:lineRule="auto"/>
        <w:jc w:val="lowKashida"/>
        <w:rPr>
          <w:rFonts w:ascii="Times New Roman" w:eastAsia="Times New Roman" w:hAnsi="Times New Roman" w:cs="Simplified Arabic"/>
          <w:b/>
          <w:bCs/>
          <w:sz w:val="28"/>
          <w:szCs w:val="28"/>
        </w:rPr>
      </w:pPr>
      <w:r w:rsidRPr="001C01F1">
        <w:rPr>
          <w:rFonts w:ascii="Simplified Arabic" w:eastAsia="Times New Roman" w:hAnsi="Simplified Arabic" w:cs="Simplified Arabic"/>
          <w:b/>
          <w:bCs/>
          <w:sz w:val="32"/>
          <w:szCs w:val="32"/>
          <w:rtl/>
        </w:rPr>
        <w:t xml:space="preserve">(1) </w:t>
      </w:r>
      <w:r w:rsidRPr="001C01F1">
        <w:rPr>
          <w:rFonts w:ascii="Simplified Arabic" w:eastAsia="Times New Roman" w:hAnsi="Simplified Arabic" w:cs="Simplified Arabic"/>
          <w:b/>
          <w:bCs/>
          <w:sz w:val="28"/>
          <w:szCs w:val="24"/>
          <w:rtl/>
        </w:rPr>
        <w:t xml:space="preserve">   </w:t>
      </w:r>
      <w:r w:rsidRPr="001C01F1">
        <w:rPr>
          <w:rFonts w:ascii="Simplified Arabic" w:eastAsia="Times New Roman" w:hAnsi="Simplified Arabic" w:cs="Simplified Arabic"/>
          <w:b/>
          <w:bCs/>
          <w:sz w:val="28"/>
          <w:szCs w:val="28"/>
          <w:rtl/>
        </w:rPr>
        <w:t xml:space="preserve"> إيجار  </w:t>
      </w:r>
    </w:p>
    <w:p w:rsidR="001C01F1" w:rsidRPr="001C01F1" w:rsidRDefault="001C01F1" w:rsidP="001C01F1">
      <w:pPr>
        <w:spacing w:after="0" w:line="240" w:lineRule="auto"/>
        <w:jc w:val="lowKashida"/>
        <w:rPr>
          <w:rFonts w:ascii="Times New Roman" w:eastAsia="Times New Roman" w:hAnsi="Times New Roman" w:cs="Simplified Arabic"/>
          <w:sz w:val="28"/>
          <w:szCs w:val="28"/>
        </w:rPr>
      </w:pPr>
      <w:r w:rsidRPr="001C01F1">
        <w:rPr>
          <w:rFonts w:ascii="Times New Roman" w:eastAsia="Times New Roman" w:hAnsi="Times New Roman" w:cs="Simplified Arabic"/>
          <w:sz w:val="28"/>
          <w:szCs w:val="28"/>
        </w:rPr>
        <w:t>-</w:t>
      </w:r>
      <w:r w:rsidRPr="001C01F1">
        <w:rPr>
          <w:rFonts w:ascii="Simplified Arabic" w:eastAsia="Times New Roman" w:hAnsi="Simplified Arabic" w:cs="Simplified Arabic"/>
          <w:sz w:val="28"/>
          <w:szCs w:val="28"/>
          <w:rtl/>
        </w:rPr>
        <w:t xml:space="preserve"> زوجة المستأجر وأولاده ووالديه المقيمون معه بالعين </w:t>
      </w:r>
      <w:proofErr w:type="gramStart"/>
      <w:r w:rsidRPr="001C01F1">
        <w:rPr>
          <w:rFonts w:ascii="Simplified Arabic" w:eastAsia="Times New Roman" w:hAnsi="Simplified Arabic" w:cs="Simplified Arabic"/>
          <w:sz w:val="28"/>
          <w:szCs w:val="28"/>
          <w:rtl/>
        </w:rPr>
        <w:t>المؤجرة .</w:t>
      </w:r>
      <w:proofErr w:type="gramEnd"/>
      <w:r w:rsidRPr="001C01F1">
        <w:rPr>
          <w:rFonts w:ascii="Simplified Arabic" w:eastAsia="Times New Roman" w:hAnsi="Simplified Arabic" w:cs="Simplified Arabic"/>
          <w:sz w:val="28"/>
          <w:szCs w:val="28"/>
          <w:rtl/>
        </w:rPr>
        <w:t xml:space="preserve"> عدم اعتبارهم مستأجرين أصليين . حقهم في البقاء في العين بعد وفاة المستأجر أو تركه لها . مادة 21 ق 52 لسنة 1969 . لا يعني اعتبارهم مستأجرين أصليين .</w:t>
      </w:r>
    </w:p>
    <w:p w:rsidR="001C01F1" w:rsidRPr="001C01F1" w:rsidRDefault="001C01F1" w:rsidP="001C01F1">
      <w:pPr>
        <w:spacing w:after="0" w:line="240" w:lineRule="auto"/>
        <w:jc w:val="lowKashida"/>
        <w:rPr>
          <w:rFonts w:ascii="Times New Roman" w:eastAsia="Times New Roman" w:hAnsi="Times New Roman" w:cs="Simplified Arabic"/>
          <w:b/>
          <w:bCs/>
          <w:sz w:val="28"/>
          <w:szCs w:val="24"/>
        </w:rPr>
      </w:pPr>
    </w:p>
    <w:p w:rsidR="001C01F1" w:rsidRPr="001C01F1" w:rsidRDefault="001C01F1" w:rsidP="001C01F1">
      <w:pPr>
        <w:spacing w:after="0" w:line="240" w:lineRule="auto"/>
        <w:jc w:val="lowKashida"/>
        <w:rPr>
          <w:rFonts w:ascii="Simplified Arabic" w:eastAsia="Times New Roman" w:hAnsi="Simplified Arabic" w:cs="Simplified Arabic"/>
          <w:b/>
          <w:bCs/>
          <w:sz w:val="28"/>
          <w:szCs w:val="24"/>
        </w:rPr>
      </w:pPr>
    </w:p>
    <w:p w:rsidR="001C01F1" w:rsidRPr="001C01F1" w:rsidRDefault="001C01F1" w:rsidP="001C01F1">
      <w:pPr>
        <w:spacing w:after="0" w:line="240" w:lineRule="auto"/>
        <w:jc w:val="center"/>
        <w:rPr>
          <w:rFonts w:ascii="Times New Roman" w:eastAsia="Times New Roman" w:hAnsi="Times New Roman" w:cs="PT Bold Heading"/>
          <w:b/>
          <w:bCs/>
          <w:color w:val="008000"/>
          <w:sz w:val="32"/>
          <w:szCs w:val="32"/>
          <w:rtl/>
          <w:lang w:eastAsia="ar-SA"/>
        </w:rPr>
      </w:pPr>
      <w:r w:rsidRPr="001C01F1">
        <w:rPr>
          <w:rFonts w:ascii="Times New Roman" w:eastAsia="Times New Roman" w:hAnsi="Times New Roman" w:cs="PT Bold Heading" w:hint="cs"/>
          <w:b/>
          <w:bCs/>
          <w:color w:val="008000"/>
          <w:sz w:val="32"/>
          <w:szCs w:val="32"/>
          <w:rtl/>
          <w:lang w:eastAsia="ar-SA"/>
        </w:rPr>
        <w:t>القاعدة</w:t>
      </w:r>
    </w:p>
    <w:p w:rsidR="001C01F1" w:rsidRPr="001C01F1" w:rsidRDefault="001C01F1" w:rsidP="001C01F1">
      <w:pPr>
        <w:spacing w:after="0" w:line="240" w:lineRule="auto"/>
        <w:jc w:val="lowKashida"/>
        <w:rPr>
          <w:rFonts w:ascii="Times New Roman" w:eastAsia="Times New Roman" w:hAnsi="Times New Roman" w:cs="Simplified Arabic" w:hint="cs"/>
          <w:sz w:val="28"/>
          <w:szCs w:val="28"/>
          <w:rtl/>
        </w:rPr>
      </w:pPr>
      <w:r w:rsidRPr="001C01F1">
        <w:rPr>
          <w:rFonts w:ascii="Simplified Arabic" w:eastAsia="Times New Roman" w:hAnsi="Simplified Arabic" w:cs="Simplified Arabic"/>
          <w:sz w:val="28"/>
          <w:szCs w:val="28"/>
          <w:rtl/>
        </w:rPr>
        <w:t>1- إذ كان تفسير الحكم المطعون فيه لنص المادة 21 من القانون رقم 52 لسنة 1969 التى تقضى بأنه لا ينتهى عقد إيجار المسكن بوفاة المستأجر أو تركه العين إذا بقى فيها زوجة أو أولاده أو والداه الذين كانوا يقيمون معه حتى الوفاة أو الترك .. و يلتزم المؤجر بتحرير عقود إيجار لهم " بأن المستأجر يعتبر " كفيلاً " عن أفراد أسرته فى تحرير عقد الإيجار و أنهم يعتبرون مثله مستأجرين أصليين و أن لم يكن له سند من عبارة النص التى تدل على إقتصار حكمه على تنظيم حقوق هذه الطائفة من المقيمين مع المستأجر بعد وفاته أو تركه المسكن لهم دون أن يجاوز ذلك إلى تكييف ما قد يربطهم من علاقة بالمؤجر أو بالمستأجر قبل الوفاة أو الترك ، و هو ما تحكمه القواعد المقررة فى القانون المدنى بحكم إنطباقه على سائر المعاملات المدنية بما فيها الإيجار بإستثناء ما نصت عليه القوانين المنظمة للعلاقات بين المؤجر و المستأجر مما مؤداه أن نص المادة 21 آنف الذكر هو مصدر الحق المقرر فيه و بالقيد الوارد به ، و هو إستلزام إقامة المستفيدين منه مع المستأجر حتى الوفاة أو الترك و هو ما لا تتطلبه قواعد القانون المدنى بالنسبة للمستأجرين الأصليين ، و آيه ذلك ما خوله النص لهولاء المنتفعين من حق مطالبة المؤجر بتحرير عقد إيجار لهم مما يدل عن أنهم ليسوا مستأجرين بمقتضى عقد الإيجار الأصلى .</w:t>
      </w:r>
    </w:p>
    <w:p w:rsidR="001C01F1" w:rsidRPr="001C01F1" w:rsidRDefault="001C01F1" w:rsidP="001C01F1">
      <w:pPr>
        <w:spacing w:after="0" w:line="240" w:lineRule="auto"/>
        <w:jc w:val="lowKashida"/>
        <w:rPr>
          <w:rFonts w:ascii="Times New Roman" w:eastAsia="Times New Roman" w:hAnsi="Times New Roman" w:cs="Simplified Arabic"/>
          <w:sz w:val="28"/>
          <w:szCs w:val="28"/>
        </w:rPr>
      </w:pPr>
    </w:p>
    <w:p w:rsidR="001C01F1" w:rsidRPr="001C01F1" w:rsidRDefault="001C01F1" w:rsidP="001C01F1">
      <w:pPr>
        <w:spacing w:after="0" w:line="240" w:lineRule="auto"/>
        <w:jc w:val="center"/>
        <w:rPr>
          <w:rFonts w:ascii="Times New Roman" w:eastAsia="Times New Roman" w:hAnsi="Times New Roman" w:cs="Simplified Arabic"/>
          <w:sz w:val="24"/>
          <w:szCs w:val="24"/>
        </w:rPr>
      </w:pPr>
      <w:r w:rsidRPr="001C01F1">
        <w:rPr>
          <w:rFonts w:ascii="Simplified Arabic" w:eastAsia="Times New Roman" w:hAnsi="Simplified Arabic" w:cs="Simplified Arabic"/>
          <w:sz w:val="24"/>
          <w:szCs w:val="24"/>
          <w:rtl/>
        </w:rPr>
        <w:t>" سنة المكتب الفنى "  30 " رقم الصفحة -  823 -  قاعدة رقم –   -  "</w:t>
      </w:r>
    </w:p>
    <w:p w:rsidR="001C01F1" w:rsidRPr="001C01F1" w:rsidRDefault="001C01F1" w:rsidP="001C01F1">
      <w:pPr>
        <w:spacing w:after="0" w:line="240" w:lineRule="auto"/>
        <w:rPr>
          <w:rFonts w:ascii="Times New Roman" w:eastAsia="Times New Roman" w:hAnsi="Times New Roman" w:cs="Times New Roman"/>
          <w:sz w:val="24"/>
          <w:szCs w:val="24"/>
        </w:rPr>
      </w:pPr>
    </w:p>
    <w:p w:rsidR="003E5EDE" w:rsidRPr="001C01F1" w:rsidRDefault="003E5EDE">
      <w:bookmarkStart w:id="0" w:name="_GoBack"/>
      <w:bookmarkEnd w:id="0"/>
    </w:p>
    <w:sectPr w:rsidR="003E5EDE" w:rsidRPr="001C01F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D9"/>
    <w:rsid w:val="0003272B"/>
    <w:rsid w:val="001C01F1"/>
    <w:rsid w:val="003E5EDE"/>
    <w:rsid w:val="00942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2020-06-03T13:56:00Z</dcterms:created>
  <dcterms:modified xsi:type="dcterms:W3CDTF">2020-06-03T13:56:00Z</dcterms:modified>
</cp:coreProperties>
</file>