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EF" w:rsidRPr="000C0DEF" w:rsidRDefault="000C0DEF" w:rsidP="000C0DE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C0DE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113 لسنة 46 ق </w:t>
      </w:r>
      <w:r w:rsidRPr="000C0DEF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0C0DE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5-4-1979</w:t>
      </w:r>
    </w:p>
    <w:p w:rsidR="000C0DEF" w:rsidRPr="000C0DEF" w:rsidRDefault="000C0DEF" w:rsidP="000C0DE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C0DE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0C0DEF" w:rsidRPr="000C0DEF" w:rsidRDefault="000C0DEF" w:rsidP="000C0DE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0C0DEF" w:rsidRPr="000C0DEF" w:rsidRDefault="000C0DEF" w:rsidP="000C0DE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0C0DE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0C0DE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C0DE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إثبات</w:t>
      </w:r>
    </w:p>
    <w:p w:rsidR="000C0DEF" w:rsidRPr="000C0DEF" w:rsidRDefault="000C0DEF" w:rsidP="000C0DE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C0DE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C0DE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القرينة المنصوص عليها في المادة 917 </w:t>
      </w:r>
      <w:proofErr w:type="gramStart"/>
      <w:r w:rsidRPr="000C0DEF">
        <w:rPr>
          <w:rFonts w:ascii="Simplified Arabic" w:eastAsia="Times New Roman" w:hAnsi="Simplified Arabic" w:cs="Simplified Arabic"/>
          <w:sz w:val="28"/>
          <w:szCs w:val="28"/>
          <w:rtl/>
        </w:rPr>
        <w:t>مدني .</w:t>
      </w:r>
      <w:proofErr w:type="gramEnd"/>
      <w:r w:rsidRPr="000C0DE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شرط إعمالها . أن يكون المتصرف إليه وارث للمتصرف . عدم استفادة المورث من هذه القرينة</w:t>
      </w:r>
    </w:p>
    <w:p w:rsidR="000C0DEF" w:rsidRPr="000C0DEF" w:rsidRDefault="000C0DEF" w:rsidP="000C0DE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C0DEF" w:rsidRPr="000C0DEF" w:rsidRDefault="000C0DEF" w:rsidP="000C0DE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0C0DE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0C0DE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0C0DE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عقد</w:t>
      </w:r>
    </w:p>
    <w:p w:rsidR="000C0DEF" w:rsidRPr="000C0DEF" w:rsidRDefault="000C0DEF" w:rsidP="000C0DEF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0C0DE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C0DE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استخلاص الفسخ الضمني للعقد من مسائل </w:t>
      </w:r>
      <w:proofErr w:type="gramStart"/>
      <w:r w:rsidRPr="000C0DEF">
        <w:rPr>
          <w:rFonts w:ascii="Simplified Arabic" w:eastAsia="Times New Roman" w:hAnsi="Simplified Arabic" w:cs="Simplified Arabic"/>
          <w:sz w:val="28"/>
          <w:szCs w:val="28"/>
          <w:rtl/>
        </w:rPr>
        <w:t>الواقع .</w:t>
      </w:r>
      <w:proofErr w:type="gramEnd"/>
      <w:r w:rsidRPr="000C0DE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اسقلال قاضي الموضوع به</w:t>
      </w:r>
    </w:p>
    <w:p w:rsidR="000C0DEF" w:rsidRPr="000C0DEF" w:rsidRDefault="000C0DEF" w:rsidP="000C0DE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0C0DEF" w:rsidRPr="000C0DEF" w:rsidRDefault="000C0DEF" w:rsidP="000C0DEF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C0DE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0C0DE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0C0DE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حكم</w:t>
      </w:r>
    </w:p>
    <w:p w:rsidR="000C0DEF" w:rsidRPr="000C0DEF" w:rsidRDefault="000C0DEF" w:rsidP="000C0DEF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0C0DE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C0DE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تصديق القاضي علي </w:t>
      </w:r>
      <w:proofErr w:type="gramStart"/>
      <w:r w:rsidRPr="000C0DEF">
        <w:rPr>
          <w:rFonts w:ascii="Simplified Arabic" w:eastAsia="Times New Roman" w:hAnsi="Simplified Arabic" w:cs="Simplified Arabic"/>
          <w:sz w:val="28"/>
          <w:szCs w:val="28"/>
          <w:rtl/>
        </w:rPr>
        <w:t>الصلح .</w:t>
      </w:r>
      <w:proofErr w:type="gramEnd"/>
      <w:r w:rsidRPr="000C0DE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ماهيته . انحسام النزاع بالصلح . أثره . عدم جواز تجديده بين المتصالحين .</w:t>
      </w:r>
    </w:p>
    <w:p w:rsidR="000C0DEF" w:rsidRPr="000C0DEF" w:rsidRDefault="000C0DEF" w:rsidP="000C0DE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0C0DEF" w:rsidRPr="000C0DEF" w:rsidRDefault="000C0DEF" w:rsidP="000C0DE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C0DE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0C0DEF" w:rsidRPr="000C0DEF" w:rsidRDefault="000C0DEF" w:rsidP="000C0DEF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0C0DEF">
        <w:rPr>
          <w:rFonts w:ascii="Simplified Arabic" w:eastAsia="Times New Roman" w:hAnsi="Simplified Arabic" w:cs="Simplified Arabic"/>
          <w:sz w:val="28"/>
          <w:szCs w:val="28"/>
          <w:rtl/>
        </w:rPr>
        <w:t>1- دلت المادة 917 من القانون المدنى على أنه من بين شروط أعمال هذا النص أن يكون المتصرف إليه وارثاً للمتصرف و إذ كانت هذه الصفة لا تتخذ إلا بوفاة المتصرف ، مما لا يصح معه وصف المتصرف إليه بأنه وارث للمتصرف ما دام الأخير على قيد الحياة ، فإن المورث لا يفيد من القرينة التى أقامتها هذه المادة .</w:t>
      </w:r>
    </w:p>
    <w:p w:rsidR="000C0DEF" w:rsidRPr="000C0DEF" w:rsidRDefault="000C0DEF" w:rsidP="000C0DE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C0DEF" w:rsidRPr="000C0DEF" w:rsidRDefault="000C0DEF" w:rsidP="000C0DE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C0DEF">
        <w:rPr>
          <w:rFonts w:ascii="Simplified Arabic" w:eastAsia="Times New Roman" w:hAnsi="Simplified Arabic" w:cs="Simplified Arabic"/>
          <w:sz w:val="28"/>
          <w:szCs w:val="28"/>
          <w:rtl/>
        </w:rPr>
        <w:t>2- إستخلاص الفسخ الضمنى للعقد هو مسائل الواقع التى يستقل بها قاضى الموضوع متى كان إستخلاصه سائغاً .</w:t>
      </w:r>
    </w:p>
    <w:p w:rsidR="000C0DEF" w:rsidRPr="000C0DEF" w:rsidRDefault="000C0DEF" w:rsidP="000C0DE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C0DEF" w:rsidRPr="000C0DEF" w:rsidRDefault="000C0DEF" w:rsidP="000C0DE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C0DEF">
        <w:rPr>
          <w:rFonts w:ascii="Simplified Arabic" w:eastAsia="Times New Roman" w:hAnsi="Simplified Arabic" w:cs="Simplified Arabic"/>
          <w:sz w:val="28"/>
          <w:szCs w:val="28"/>
          <w:rtl/>
        </w:rPr>
        <w:t>3- القاضى و هو يصدق على محضر الصلح لا يكون قائماً بوظيفة الفصل فى خصومة لأن مهمته يقتصر على إثبات ما حصل أمامه من إتفاق ، و لا يعدو هذا الإتفاق أن يكون عقداً ليس له حجية الشىء المحكوم فيه ، إلا أن المادة 553 من القانون المدنى نصت على أن تنحسم بالصلح المنازعات التى يتناولها ، و يترتب عليه إنقضاء الحقوق و الإدعاءات التى نزل عنها أى من المتعاقدين نزولاً نهائياً مما مؤداه أنه إذا إنحسم النزاع بالصلح لا يجوز لأى من المتصالحين أن يحدد هذا النزاع لا بإقامة دعوى به و لا بالمضى فى الدعوى التى كانت مرفوعة مما حسمه الطرفان صلحاً .</w:t>
      </w:r>
    </w:p>
    <w:p w:rsidR="000C0DEF" w:rsidRPr="000C0DEF" w:rsidRDefault="000C0DEF" w:rsidP="000C0DE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C0DEF" w:rsidRPr="000C0DEF" w:rsidRDefault="000C0DEF" w:rsidP="000C0DEF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0C0DEF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161 -  قاعدة رقم –   -  "</w:t>
      </w:r>
    </w:p>
    <w:p w:rsidR="000C0DEF" w:rsidRPr="000C0DEF" w:rsidRDefault="000C0DEF" w:rsidP="000C0DEF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0C0DEF" w:rsidRPr="000C0DEF" w:rsidRDefault="000C0DEF" w:rsidP="000C0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E5EDE" w:rsidRDefault="003E5EDE">
      <w:bookmarkStart w:id="0" w:name="_GoBack"/>
      <w:bookmarkEnd w:id="0"/>
    </w:p>
    <w:sectPr w:rsidR="003E5ED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1A"/>
    <w:rsid w:val="0003272B"/>
    <w:rsid w:val="000C0DEF"/>
    <w:rsid w:val="003E5EDE"/>
    <w:rsid w:val="00AA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2020-06-03T14:04:00Z</dcterms:created>
  <dcterms:modified xsi:type="dcterms:W3CDTF">2020-06-03T14:04:00Z</dcterms:modified>
</cp:coreProperties>
</file>