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CC" w:rsidRPr="003665CC" w:rsidRDefault="003665CC" w:rsidP="003665CC">
      <w:pPr>
        <w:spacing w:after="0" w:line="240" w:lineRule="auto"/>
        <w:jc w:val="center"/>
        <w:rPr>
          <w:rFonts w:ascii="Times New Roman" w:eastAsia="Times New Roman" w:hAnsi="Times New Roman" w:cs="PT Bold Heading"/>
          <w:b/>
          <w:bCs/>
          <w:color w:val="008000"/>
          <w:sz w:val="32"/>
          <w:szCs w:val="32"/>
          <w:lang w:eastAsia="ar-SA"/>
        </w:rPr>
      </w:pPr>
      <w:r w:rsidRPr="003665CC">
        <w:rPr>
          <w:rFonts w:ascii="Times New Roman" w:eastAsia="Times New Roman" w:hAnsi="Times New Roman" w:cs="PT Bold Heading" w:hint="cs"/>
          <w:b/>
          <w:bCs/>
          <w:color w:val="008000"/>
          <w:sz w:val="32"/>
          <w:szCs w:val="32"/>
          <w:rtl/>
          <w:lang w:eastAsia="ar-SA"/>
        </w:rPr>
        <w:t xml:space="preserve">الطعن رقم 135 لسنة 46 ق </w:t>
      </w:r>
      <w:r w:rsidRPr="003665CC">
        <w:rPr>
          <w:rFonts w:ascii="Times New Roman" w:eastAsia="Times New Roman" w:hAnsi="Times New Roman" w:cs="Times New Roman" w:hint="cs"/>
          <w:b/>
          <w:bCs/>
          <w:color w:val="008000"/>
          <w:sz w:val="32"/>
          <w:szCs w:val="32"/>
          <w:rtl/>
          <w:lang w:eastAsia="ar-SA"/>
        </w:rPr>
        <w:t>-</w:t>
      </w:r>
      <w:r w:rsidRPr="003665CC">
        <w:rPr>
          <w:rFonts w:ascii="Times New Roman" w:eastAsia="Times New Roman" w:hAnsi="Times New Roman" w:cs="PT Bold Heading" w:hint="cs"/>
          <w:b/>
          <w:bCs/>
          <w:color w:val="008000"/>
          <w:sz w:val="32"/>
          <w:szCs w:val="32"/>
          <w:rtl/>
          <w:lang w:eastAsia="ar-SA"/>
        </w:rPr>
        <w:t xml:space="preserve"> جلسة 25-1-1979</w:t>
      </w:r>
    </w:p>
    <w:p w:rsidR="003665CC" w:rsidRPr="003665CC" w:rsidRDefault="003665CC" w:rsidP="003665CC">
      <w:pPr>
        <w:spacing w:after="0" w:line="240" w:lineRule="auto"/>
        <w:jc w:val="center"/>
        <w:rPr>
          <w:rFonts w:ascii="Times New Roman" w:eastAsia="Times New Roman" w:hAnsi="Times New Roman" w:cs="PT Bold Heading"/>
          <w:b/>
          <w:bCs/>
          <w:color w:val="008000"/>
          <w:sz w:val="32"/>
          <w:szCs w:val="32"/>
          <w:lang w:eastAsia="ar-SA"/>
        </w:rPr>
      </w:pPr>
      <w:r w:rsidRPr="003665CC">
        <w:rPr>
          <w:rFonts w:ascii="Times New Roman" w:eastAsia="Times New Roman" w:hAnsi="Times New Roman" w:cs="PT Bold Heading" w:hint="cs"/>
          <w:b/>
          <w:bCs/>
          <w:color w:val="008000"/>
          <w:sz w:val="32"/>
          <w:szCs w:val="32"/>
          <w:rtl/>
          <w:lang w:eastAsia="ar-SA"/>
        </w:rPr>
        <w:t>الموضوع ،  و  الموجز :</w:t>
      </w:r>
    </w:p>
    <w:p w:rsidR="003665CC" w:rsidRPr="003665CC" w:rsidRDefault="003665CC" w:rsidP="003665CC">
      <w:pPr>
        <w:spacing w:after="0" w:line="240" w:lineRule="auto"/>
        <w:jc w:val="lowKashida"/>
        <w:rPr>
          <w:rFonts w:ascii="Times New Roman" w:eastAsia="Times New Roman" w:hAnsi="Times New Roman" w:cs="Simplified Arabic"/>
          <w:b/>
          <w:bCs/>
          <w:sz w:val="32"/>
          <w:szCs w:val="32"/>
        </w:rPr>
      </w:pPr>
    </w:p>
    <w:p w:rsidR="003665CC" w:rsidRPr="003665CC" w:rsidRDefault="003665CC" w:rsidP="003665CC">
      <w:pPr>
        <w:spacing w:after="0" w:line="240" w:lineRule="auto"/>
        <w:jc w:val="lowKashida"/>
        <w:rPr>
          <w:rFonts w:ascii="Times New Roman" w:eastAsia="Times New Roman" w:hAnsi="Times New Roman" w:cs="Simplified Arabic"/>
          <w:b/>
          <w:bCs/>
          <w:sz w:val="28"/>
          <w:szCs w:val="28"/>
        </w:rPr>
      </w:pPr>
      <w:r w:rsidRPr="003665CC">
        <w:rPr>
          <w:rFonts w:ascii="Simplified Arabic" w:eastAsia="Times New Roman" w:hAnsi="Simplified Arabic" w:cs="Simplified Arabic"/>
          <w:b/>
          <w:bCs/>
          <w:sz w:val="32"/>
          <w:szCs w:val="32"/>
          <w:rtl/>
        </w:rPr>
        <w:t xml:space="preserve">(1) </w:t>
      </w:r>
      <w:r w:rsidRPr="003665CC">
        <w:rPr>
          <w:rFonts w:ascii="Simplified Arabic" w:eastAsia="Times New Roman" w:hAnsi="Simplified Arabic" w:cs="Simplified Arabic"/>
          <w:b/>
          <w:bCs/>
          <w:sz w:val="28"/>
          <w:szCs w:val="24"/>
          <w:rtl/>
        </w:rPr>
        <w:t xml:space="preserve">   </w:t>
      </w:r>
      <w:r w:rsidRPr="003665CC">
        <w:rPr>
          <w:rFonts w:ascii="Simplified Arabic" w:eastAsia="Times New Roman" w:hAnsi="Simplified Arabic" w:cs="Simplified Arabic"/>
          <w:b/>
          <w:bCs/>
          <w:sz w:val="28"/>
          <w:szCs w:val="28"/>
          <w:rtl/>
        </w:rPr>
        <w:t xml:space="preserve"> بطلان </w:t>
      </w:r>
    </w:p>
    <w:p w:rsidR="003665CC" w:rsidRPr="003665CC" w:rsidRDefault="003665CC" w:rsidP="003665CC">
      <w:pPr>
        <w:spacing w:after="0" w:line="240" w:lineRule="auto"/>
        <w:jc w:val="lowKashida"/>
        <w:rPr>
          <w:rFonts w:ascii="Simplified Arabic" w:eastAsia="Times New Roman" w:hAnsi="Simplified Arabic" w:cs="Simplified Arabic"/>
          <w:sz w:val="28"/>
          <w:szCs w:val="28"/>
        </w:rPr>
      </w:pPr>
      <w:r w:rsidRPr="003665CC">
        <w:rPr>
          <w:rFonts w:ascii="Times New Roman" w:eastAsia="Times New Roman" w:hAnsi="Times New Roman" w:cs="Simplified Arabic"/>
          <w:sz w:val="28"/>
          <w:szCs w:val="28"/>
        </w:rPr>
        <w:t>-</w:t>
      </w:r>
      <w:r w:rsidRPr="003665CC">
        <w:rPr>
          <w:rFonts w:ascii="Simplified Arabic" w:eastAsia="Times New Roman" w:hAnsi="Simplified Arabic" w:cs="Simplified Arabic"/>
          <w:sz w:val="28"/>
          <w:szCs w:val="28"/>
          <w:rtl/>
        </w:rPr>
        <w:t xml:space="preserve"> دعوي بطلان العقد </w:t>
      </w:r>
      <w:proofErr w:type="gramStart"/>
      <w:r w:rsidRPr="003665CC">
        <w:rPr>
          <w:rFonts w:ascii="Simplified Arabic" w:eastAsia="Times New Roman" w:hAnsi="Simplified Arabic" w:cs="Simplified Arabic"/>
          <w:sz w:val="28"/>
          <w:szCs w:val="28"/>
          <w:rtl/>
        </w:rPr>
        <w:t>لصوريته .</w:t>
      </w:r>
      <w:proofErr w:type="gramEnd"/>
      <w:r w:rsidRPr="003665CC">
        <w:rPr>
          <w:rFonts w:ascii="Simplified Arabic" w:eastAsia="Times New Roman" w:hAnsi="Simplified Arabic" w:cs="Simplified Arabic"/>
          <w:sz w:val="28"/>
          <w:szCs w:val="28"/>
          <w:rtl/>
        </w:rPr>
        <w:t xml:space="preserve"> قبولها . مناطه . توافر مصلحة قائمة وحالة للمدعي فيها</w:t>
      </w:r>
    </w:p>
    <w:p w:rsidR="003665CC" w:rsidRPr="003665CC" w:rsidRDefault="003665CC" w:rsidP="003665CC">
      <w:pPr>
        <w:spacing w:after="0" w:line="240" w:lineRule="auto"/>
        <w:jc w:val="lowKashida"/>
        <w:rPr>
          <w:rFonts w:ascii="Times New Roman" w:eastAsia="Times New Roman" w:hAnsi="Times New Roman" w:cs="Simplified Arabic"/>
          <w:b/>
          <w:bCs/>
          <w:sz w:val="28"/>
          <w:szCs w:val="24"/>
          <w:rtl/>
        </w:rPr>
      </w:pPr>
    </w:p>
    <w:p w:rsidR="003665CC" w:rsidRPr="003665CC" w:rsidRDefault="003665CC" w:rsidP="003665CC">
      <w:pPr>
        <w:spacing w:after="0" w:line="240" w:lineRule="auto"/>
        <w:jc w:val="lowKashida"/>
        <w:rPr>
          <w:rFonts w:ascii="Simplified Arabic" w:eastAsia="Times New Roman" w:hAnsi="Simplified Arabic" w:cs="Simplified Arabic"/>
          <w:b/>
          <w:bCs/>
          <w:sz w:val="28"/>
          <w:szCs w:val="24"/>
        </w:rPr>
      </w:pPr>
      <w:r w:rsidRPr="003665CC">
        <w:rPr>
          <w:rFonts w:ascii="Simplified Arabic" w:eastAsia="Times New Roman" w:hAnsi="Simplified Arabic" w:cs="Simplified Arabic"/>
          <w:b/>
          <w:bCs/>
          <w:sz w:val="32"/>
          <w:szCs w:val="32"/>
          <w:rtl/>
        </w:rPr>
        <w:t xml:space="preserve">(2) </w:t>
      </w:r>
      <w:r w:rsidRPr="003665CC">
        <w:rPr>
          <w:rFonts w:ascii="Simplified Arabic" w:eastAsia="Times New Roman" w:hAnsi="Simplified Arabic" w:cs="Simplified Arabic"/>
          <w:b/>
          <w:bCs/>
          <w:sz w:val="28"/>
          <w:szCs w:val="24"/>
          <w:rtl/>
        </w:rPr>
        <w:t xml:space="preserve">    </w:t>
      </w:r>
      <w:r w:rsidRPr="003665CC">
        <w:rPr>
          <w:rFonts w:ascii="Simplified Arabic" w:eastAsia="Times New Roman" w:hAnsi="Simplified Arabic" w:cs="Simplified Arabic"/>
          <w:b/>
          <w:bCs/>
          <w:sz w:val="28"/>
          <w:szCs w:val="28"/>
          <w:rtl/>
        </w:rPr>
        <w:t>حكم</w:t>
      </w:r>
    </w:p>
    <w:p w:rsidR="003665CC" w:rsidRPr="003665CC" w:rsidRDefault="003665CC" w:rsidP="003665CC">
      <w:pPr>
        <w:spacing w:after="0" w:line="240" w:lineRule="auto"/>
        <w:jc w:val="lowKashida"/>
        <w:rPr>
          <w:rFonts w:ascii="Simplified Arabic" w:eastAsia="Times New Roman" w:hAnsi="Simplified Arabic" w:cs="Simplified Arabic"/>
          <w:sz w:val="28"/>
          <w:szCs w:val="28"/>
          <w:rtl/>
        </w:rPr>
      </w:pPr>
      <w:r w:rsidRPr="003665CC">
        <w:rPr>
          <w:rFonts w:ascii="Times New Roman" w:eastAsia="Times New Roman" w:hAnsi="Times New Roman" w:cs="Simplified Arabic"/>
          <w:sz w:val="28"/>
          <w:szCs w:val="28"/>
        </w:rPr>
        <w:t>-</w:t>
      </w:r>
      <w:r w:rsidRPr="003665CC">
        <w:rPr>
          <w:rFonts w:ascii="Simplified Arabic" w:eastAsia="Times New Roman" w:hAnsi="Simplified Arabic" w:cs="Simplified Arabic"/>
          <w:sz w:val="28"/>
          <w:szCs w:val="28"/>
          <w:rtl/>
        </w:rPr>
        <w:t xml:space="preserve"> القضاء نهائيا بسقوط حق الشفيع في الشفعة لعدم اختصامه المشتري المدعي بصورية عقده ، رفع الشفيع دعوي مبتدأة للحكم بصورية هذا العقد القضاء بعدم قبولها لانتفاء المصلحة المحتملة المدعي فيها رغم الطعن بالنقض في الحكم </w:t>
      </w:r>
      <w:proofErr w:type="gramStart"/>
      <w:r w:rsidRPr="003665CC">
        <w:rPr>
          <w:rFonts w:ascii="Simplified Arabic" w:eastAsia="Times New Roman" w:hAnsi="Simplified Arabic" w:cs="Simplified Arabic"/>
          <w:sz w:val="28"/>
          <w:szCs w:val="28"/>
          <w:rtl/>
        </w:rPr>
        <w:t>بالسقوط .</w:t>
      </w:r>
      <w:proofErr w:type="gramEnd"/>
      <w:r w:rsidRPr="003665CC">
        <w:rPr>
          <w:rFonts w:ascii="Simplified Arabic" w:eastAsia="Times New Roman" w:hAnsi="Simplified Arabic" w:cs="Simplified Arabic"/>
          <w:sz w:val="28"/>
          <w:szCs w:val="28"/>
          <w:rtl/>
        </w:rPr>
        <w:t xml:space="preserve"> صحيح</w:t>
      </w:r>
    </w:p>
    <w:p w:rsidR="003665CC" w:rsidRPr="003665CC" w:rsidRDefault="003665CC" w:rsidP="003665CC">
      <w:pPr>
        <w:spacing w:after="0" w:line="240" w:lineRule="auto"/>
        <w:jc w:val="lowKashida"/>
        <w:rPr>
          <w:rFonts w:ascii="Simplified Arabic" w:eastAsia="Times New Roman" w:hAnsi="Simplified Arabic" w:cs="Simplified Arabic"/>
          <w:b/>
          <w:bCs/>
          <w:sz w:val="28"/>
          <w:szCs w:val="24"/>
          <w:rtl/>
        </w:rPr>
      </w:pPr>
    </w:p>
    <w:p w:rsidR="003665CC" w:rsidRPr="003665CC" w:rsidRDefault="003665CC" w:rsidP="003665CC">
      <w:pPr>
        <w:spacing w:after="0" w:line="240" w:lineRule="auto"/>
        <w:jc w:val="center"/>
        <w:rPr>
          <w:rFonts w:ascii="Times New Roman" w:eastAsia="Times New Roman" w:hAnsi="Times New Roman" w:cs="PT Bold Heading"/>
          <w:b/>
          <w:bCs/>
          <w:color w:val="008000"/>
          <w:sz w:val="32"/>
          <w:szCs w:val="32"/>
          <w:rtl/>
          <w:lang w:eastAsia="ar-SA"/>
        </w:rPr>
      </w:pPr>
      <w:r w:rsidRPr="003665CC">
        <w:rPr>
          <w:rFonts w:ascii="Times New Roman" w:eastAsia="Times New Roman" w:hAnsi="Times New Roman" w:cs="PT Bold Heading" w:hint="cs"/>
          <w:b/>
          <w:bCs/>
          <w:color w:val="008000"/>
          <w:sz w:val="32"/>
          <w:szCs w:val="32"/>
          <w:rtl/>
          <w:lang w:eastAsia="ar-SA"/>
        </w:rPr>
        <w:t>القاعدة</w:t>
      </w:r>
    </w:p>
    <w:p w:rsidR="003665CC" w:rsidRPr="003665CC" w:rsidRDefault="003665CC" w:rsidP="003665CC">
      <w:pPr>
        <w:spacing w:after="0" w:line="240" w:lineRule="auto"/>
        <w:jc w:val="lowKashida"/>
        <w:rPr>
          <w:rFonts w:ascii="Times New Roman" w:eastAsia="Times New Roman" w:hAnsi="Times New Roman" w:cs="Simplified Arabic" w:hint="cs"/>
          <w:sz w:val="28"/>
          <w:szCs w:val="28"/>
          <w:rtl/>
        </w:rPr>
      </w:pPr>
      <w:r w:rsidRPr="003665CC">
        <w:rPr>
          <w:rFonts w:ascii="Simplified Arabic" w:eastAsia="Times New Roman" w:hAnsi="Simplified Arabic" w:cs="Simplified Arabic"/>
          <w:sz w:val="28"/>
          <w:szCs w:val="28"/>
          <w:rtl/>
        </w:rPr>
        <w:t>1- دعوى بطلان العقد لصوريته صورية مطلقة لا يصلح لقبولها وجود مصلحة نظرية بحتة ، فلا يقبل إلا ممن له مصلحة قائمة و حالة فيها ، بحيث تعود عليه فائدة عملية من الحكم له بطلبه .</w:t>
      </w:r>
    </w:p>
    <w:p w:rsidR="003665CC" w:rsidRPr="003665CC" w:rsidRDefault="003665CC" w:rsidP="003665CC">
      <w:pPr>
        <w:spacing w:after="0" w:line="240" w:lineRule="auto"/>
        <w:jc w:val="lowKashida"/>
        <w:rPr>
          <w:rFonts w:ascii="Tahoma" w:eastAsia="Times New Roman" w:hAnsi="Tahoma" w:cs="Tahoma"/>
          <w:sz w:val="20"/>
          <w:szCs w:val="20"/>
        </w:rPr>
      </w:pPr>
    </w:p>
    <w:p w:rsidR="003665CC" w:rsidRPr="003665CC" w:rsidRDefault="003665CC" w:rsidP="003665CC">
      <w:pPr>
        <w:spacing w:after="0" w:line="240" w:lineRule="auto"/>
        <w:jc w:val="lowKashida"/>
        <w:rPr>
          <w:rFonts w:ascii="Times New Roman" w:eastAsia="Times New Roman" w:hAnsi="Times New Roman" w:cs="Simplified Arabic"/>
          <w:sz w:val="28"/>
          <w:szCs w:val="28"/>
          <w:rtl/>
        </w:rPr>
      </w:pPr>
      <w:r w:rsidRPr="003665CC">
        <w:rPr>
          <w:rFonts w:ascii="Simplified Arabic" w:eastAsia="Times New Roman" w:hAnsi="Simplified Arabic" w:cs="Simplified Arabic"/>
          <w:sz w:val="28"/>
          <w:szCs w:val="28"/>
          <w:rtl/>
        </w:rPr>
        <w:t>2- المصلحة المحتملة التى تكفى لقبول الدعوى لا تتوافر كصريح نص المادة الثالثة من قانون المرافعات إلا إذا كان الغرض من الطلب أحد أمرين "الأول" الإحتياط لدفع ضرر محدق و "الثانى" الإستيثاق لحق يخش زوال دليله عند النزاع فيه و إذ كان الطعن بالنقض المرفوع من الطاعنين فى الحكم الصادر بسقوط حقها فى أخذ العقار بالشفعة لعدم إختصام المشترى المدعى بصورية عقده لا يتوافر به أى من هذين الأمرين فى الدعوى المبتدأة المرفوعة منهما بطلب صورية هذا العقد -ـ فإن المصلحة المحتملة بمعناها المقصود فى المادة المذكورة لا تكون متوافرة -ـ رغم الطعن بالنقض فى الحكم بسقوط الشفعة .</w:t>
      </w:r>
    </w:p>
    <w:p w:rsidR="003665CC" w:rsidRPr="003665CC" w:rsidRDefault="003665CC" w:rsidP="003665CC">
      <w:pPr>
        <w:spacing w:after="0" w:line="240" w:lineRule="auto"/>
        <w:jc w:val="lowKashida"/>
        <w:rPr>
          <w:rFonts w:ascii="Simplified Arabic" w:eastAsia="Times New Roman" w:hAnsi="Simplified Arabic" w:cs="Simplified Arabic"/>
          <w:sz w:val="28"/>
          <w:szCs w:val="28"/>
        </w:rPr>
      </w:pPr>
    </w:p>
    <w:p w:rsidR="003665CC" w:rsidRPr="003665CC" w:rsidRDefault="003665CC" w:rsidP="003665CC">
      <w:pPr>
        <w:spacing w:after="0" w:line="240" w:lineRule="auto"/>
        <w:jc w:val="center"/>
        <w:rPr>
          <w:rFonts w:ascii="Tahoma" w:eastAsia="Times New Roman" w:hAnsi="Tahoma" w:cs="Tahoma"/>
          <w:sz w:val="20"/>
          <w:szCs w:val="20"/>
          <w:rtl/>
        </w:rPr>
      </w:pPr>
    </w:p>
    <w:p w:rsidR="003665CC" w:rsidRPr="003665CC" w:rsidRDefault="003665CC" w:rsidP="003665CC">
      <w:pPr>
        <w:spacing w:after="0" w:line="240" w:lineRule="auto"/>
        <w:jc w:val="center"/>
        <w:rPr>
          <w:rFonts w:ascii="Times New Roman" w:eastAsia="Times New Roman" w:hAnsi="Times New Roman" w:cs="Simplified Arabic"/>
          <w:sz w:val="24"/>
          <w:szCs w:val="24"/>
          <w:rtl/>
        </w:rPr>
      </w:pPr>
      <w:r w:rsidRPr="003665CC">
        <w:rPr>
          <w:rFonts w:ascii="Simplified Arabic" w:eastAsia="Times New Roman" w:hAnsi="Simplified Arabic" w:cs="Simplified Arabic"/>
          <w:sz w:val="24"/>
          <w:szCs w:val="24"/>
          <w:rtl/>
        </w:rPr>
        <w:t>" سنة المكتب الفنى "  30 " رقم الصفحة -   381-  قاعدة رقم –   -  "</w:t>
      </w:r>
    </w:p>
    <w:p w:rsidR="003665CC" w:rsidRPr="003665CC" w:rsidRDefault="003665CC" w:rsidP="003665CC">
      <w:pPr>
        <w:spacing w:after="0" w:line="240" w:lineRule="auto"/>
        <w:rPr>
          <w:rFonts w:ascii="Times New Roman" w:eastAsia="Times New Roman" w:hAnsi="Times New Roman" w:cs="Times New Roman"/>
          <w:sz w:val="24"/>
          <w:szCs w:val="24"/>
        </w:rPr>
      </w:pPr>
    </w:p>
    <w:p w:rsidR="003E5EDE" w:rsidRPr="003665CC" w:rsidRDefault="003E5EDE">
      <w:bookmarkStart w:id="0" w:name="_GoBack"/>
      <w:bookmarkEnd w:id="0"/>
    </w:p>
    <w:sectPr w:rsidR="003E5EDE" w:rsidRPr="003665C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3E5"/>
    <w:rsid w:val="0003272B"/>
    <w:rsid w:val="003665CC"/>
    <w:rsid w:val="003E5EDE"/>
    <w:rsid w:val="004513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2020-06-03T13:10:00Z</dcterms:created>
  <dcterms:modified xsi:type="dcterms:W3CDTF">2020-06-03T13:11:00Z</dcterms:modified>
</cp:coreProperties>
</file>