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27" w:rsidRPr="00C74527" w:rsidRDefault="00C74527" w:rsidP="00C7452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7452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150 لسنة 46 ق </w:t>
      </w:r>
      <w:r w:rsidRPr="00C74527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C7452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30-1-1979</w:t>
      </w:r>
    </w:p>
    <w:p w:rsidR="00C74527" w:rsidRPr="00C74527" w:rsidRDefault="00C74527" w:rsidP="00C7452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7452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C74527" w:rsidRPr="00C74527" w:rsidRDefault="00C74527" w:rsidP="00C7452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C74527" w:rsidRPr="00C74527" w:rsidRDefault="00C74527" w:rsidP="00C7452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C7452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C7452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7452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 ضرائب</w:t>
      </w:r>
    </w:p>
    <w:p w:rsidR="00C74527" w:rsidRPr="00C74527" w:rsidRDefault="00C74527" w:rsidP="00C7452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74527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74527">
        <w:rPr>
          <w:rFonts w:ascii="Simplified Arabic" w:eastAsia="Times New Roman" w:hAnsi="Simplified Arabic" w:cs="Simplified Arabic"/>
          <w:sz w:val="28"/>
          <w:szCs w:val="28"/>
          <w:rtl/>
        </w:rPr>
        <w:t>. التصرفات بين الأصول والفروع أو بين الزوجين خلال السنة الخاضع ايرادها للضريبة العامة والسنوات الخمس السابقة عليها . عدم سريانها قبل مصلحة الضرائب . وجوب أن يكون محلها أموالا تغل ايرادا. دفع الوالد ثمن العقار المشترى لأبنائه من الغير . عدم دخول الثمن في نطاق هذه التصرفات</w:t>
      </w:r>
    </w:p>
    <w:p w:rsidR="00C74527" w:rsidRPr="00C74527" w:rsidRDefault="00C74527" w:rsidP="00C7452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C74527" w:rsidRPr="00C74527" w:rsidRDefault="00C74527" w:rsidP="00C7452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C74527" w:rsidRPr="00C74527" w:rsidRDefault="00C74527" w:rsidP="00C7452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C7452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C7452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7452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تأمين</w:t>
      </w:r>
    </w:p>
    <w:p w:rsidR="00C74527" w:rsidRPr="00C74527" w:rsidRDefault="00C74527" w:rsidP="00C74527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C74527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7452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وجوب خصم أقساط التأمين علي الحياة من وعاء الضريبة العامة علي </w:t>
      </w:r>
      <w:proofErr w:type="gramStart"/>
      <w:r w:rsidRPr="00C74527">
        <w:rPr>
          <w:rFonts w:ascii="Simplified Arabic" w:eastAsia="Times New Roman" w:hAnsi="Simplified Arabic" w:cs="Simplified Arabic"/>
          <w:sz w:val="28"/>
          <w:szCs w:val="28"/>
          <w:rtl/>
        </w:rPr>
        <w:t>الايراد .</w:t>
      </w:r>
      <w:proofErr w:type="gramEnd"/>
      <w:r w:rsidRPr="00C7452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طلب خصمها . دخوله في اختصاص لجنة الطعن الضريبي</w:t>
      </w:r>
    </w:p>
    <w:p w:rsidR="00C74527" w:rsidRPr="00C74527" w:rsidRDefault="00C74527" w:rsidP="00C74527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C74527" w:rsidRPr="00C74527" w:rsidRDefault="00C74527" w:rsidP="00C7452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C7452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C74527" w:rsidRPr="00C74527" w:rsidRDefault="00C74527" w:rsidP="00C74527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C7452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مؤدى نص المادة 24 مكرراً 4 من القانون رقم 99 لسنة 1949 المضافة بالقانون رقم 218 لسنه 1951 و المعدالة بالقانون رقم 254 لسنه1953 و قبل تعديلها بالقانون رقم 46 لسنه 1978 بشأن تحقيق العدالة الضريبية ، و الفقرة الأولى من المادة السادسة من ذات القانون مرتبطين ، أن التصرفات التى لاتسرى على مصلحة الضرائب هى تلك التى تتم مباشرة بين الأصول و الفروع أو بين الزوجين خلال السنة الخاضع إيرادها للضريبة  و السنوات الخمس السابقة عليها ، و يكون محلها أموالاً ثابتة أو منقولة تغل إيراداً يخضع للضريبة بالذات و مباشرة ، أما ماعداها من التصرفات التى تم بين أحد هؤلاء و الغير أو تتعلق بأموال لاتغل إيراداً فلا يسرى عليها حكم المادة 24 مكرر "4" سالفة الذكر لإنتفاء العلة التى حدت بالشارع إلى إضافه هذه المادة و هى على ما أفصحت عنه المذكرة الإيضاحية للقانون رقم 218 لسنة 1951 " أن تصاعد السعر قد يغرى الممولين بل لقد أغرى بعضهم بالفعل بتوزيع أموالهم على أزواجهم و أولادهم بغيه تجزء الإيراد المستمد منها و الحيلولة له بذلك دون خضوعه للضريبة إطلاقاً أو على الأقل خضوعه لسعر الشرائح العليا ، و علاج هذه الحالة لا يتأتى إلا بالنص على عدم الإحتجاج على مصلحة الضرائب فيما يتعلق بربط الضريبة العامة بالهيئات و التصرفات بين الأصول و الفروع أو بين الزوجين التى تمت فى السنوات الخمس السابقة على السنة الخاضع </w:t>
      </w:r>
      <w:r w:rsidRPr="00C74527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إيرادها للضريبة ، على أنه يجوز لصاحب الشأن إثبات دفع المقابل و إسترداد فروق الضريبة و ذلك عن طريق القضاء " لما كان ذلك و كان الثابت فى الدعوى أن العقارين قد آلت ملكيتهما إلى زوجة الطاعن و أولاده بطريق الشراء من الغير ، فإنهما يكونان بمنأى من تطبيق حكم المادة 24 مكرر "4" من القانون رقم 99 لسنة 1949 ، و لا يؤثر فى ذلك أن يكون ثمن حصة الأبناء القصر فى أحد العقارين قد دفع نقداً من مال أبيهم ـ تبرعاً منه ـ لأن هذا الثمن النقدى لا يقل بذاته إيراداً .</w:t>
      </w:r>
    </w:p>
    <w:p w:rsidR="00C74527" w:rsidRPr="00C74527" w:rsidRDefault="00C74527" w:rsidP="00C7452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7452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                          </w:t>
      </w:r>
    </w:p>
    <w:p w:rsidR="00C74527" w:rsidRPr="00C74527" w:rsidRDefault="00C74527" w:rsidP="00C7452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74527">
        <w:rPr>
          <w:rFonts w:ascii="Simplified Arabic" w:eastAsia="Times New Roman" w:hAnsi="Simplified Arabic" w:cs="Simplified Arabic"/>
          <w:sz w:val="28"/>
          <w:szCs w:val="28"/>
          <w:rtl/>
        </w:rPr>
        <w:t>2- تقضى الفقرة الخامسة من المادة السابقة من القانون رقم 99 لسنه 1949 بخصم أقساط التأمين على الحياة و الضرائب المدفوعة فى سنوات النزاع من وعاء الضريبة العامة على الإيراد ، و لما كانت المادة 20 من القانون المذكور قد أحالت إلى المواد 52 ، 54 ،  54 مكرر من القانون رقم 14 لسنه 1939 مما مقتضاه أن تختص لجنه الطعن فى طلب خصم هذه المبالغ . و هو ما طلبه الطاعن من اللجنة و محكمة الموضوع بدرجتيها فإن الحكم المطعون فيه إذا قضى بعدم قبول هذه الطلبات بمقوله أنه يتعين رفع دعوى مبتدأ لإثبات دفع المقابل يكون قد خالف القانون و أخطأ فى تطبيقه .</w:t>
      </w:r>
    </w:p>
    <w:p w:rsidR="00C74527" w:rsidRPr="00C74527" w:rsidRDefault="00C74527" w:rsidP="00C7452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74527" w:rsidRPr="00C74527" w:rsidRDefault="00C74527" w:rsidP="00C74527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C74527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C74527" w:rsidRPr="00C74527" w:rsidRDefault="00C74527" w:rsidP="00C74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C74527" w:rsidRDefault="003E5EDE">
      <w:bookmarkStart w:id="0" w:name="_GoBack"/>
      <w:bookmarkEnd w:id="0"/>
    </w:p>
    <w:sectPr w:rsidR="003E5EDE" w:rsidRPr="00C74527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79"/>
    <w:rsid w:val="0003272B"/>
    <w:rsid w:val="00396B79"/>
    <w:rsid w:val="003E5EDE"/>
    <w:rsid w:val="00C7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2020-06-03T13:11:00Z</dcterms:created>
  <dcterms:modified xsi:type="dcterms:W3CDTF">2020-06-03T13:11:00Z</dcterms:modified>
</cp:coreProperties>
</file>