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70" w:rsidRPr="00DF0E70" w:rsidRDefault="00DF0E70" w:rsidP="00DF0E7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F0E7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229 لسنة 48 ق </w:t>
      </w:r>
      <w:r w:rsidRPr="00DF0E70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DF0E7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7-2-1979</w:t>
      </w:r>
    </w:p>
    <w:p w:rsidR="00DF0E70" w:rsidRPr="00DF0E70" w:rsidRDefault="00DF0E70" w:rsidP="00DF0E7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F0E7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DF0E70" w:rsidRPr="00DF0E70" w:rsidRDefault="00DF0E70" w:rsidP="00DF0E7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DF0E70" w:rsidRPr="00DF0E70" w:rsidRDefault="00DF0E70" w:rsidP="00DF0E7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DF0E7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DF0E7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DF0E7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نقض</w:t>
      </w:r>
    </w:p>
    <w:p w:rsidR="00DF0E70" w:rsidRPr="00DF0E70" w:rsidRDefault="00DF0E70" w:rsidP="00DF0E7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F0E7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DF0E7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حق الوارث فى الاستئثار بالمنشأة التجارية للمورث باعتباره أقدر من باقي الورثة على الاضطلاع </w:t>
      </w:r>
      <w:proofErr w:type="gramStart"/>
      <w:r w:rsidRPr="00DF0E70">
        <w:rPr>
          <w:rFonts w:ascii="Simplified Arabic" w:eastAsia="Times New Roman" w:hAnsi="Simplified Arabic" w:cs="Simplified Arabic"/>
          <w:sz w:val="28"/>
          <w:szCs w:val="28"/>
          <w:rtl/>
        </w:rPr>
        <w:t>بها .</w:t>
      </w:r>
      <w:proofErr w:type="gramEnd"/>
      <w:r w:rsidRPr="00DF0E7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 906 مدنى . عدم جواز التمسك بهذا الحق لأول مرة أمام محكمة النقض</w:t>
      </w:r>
    </w:p>
    <w:p w:rsidR="00DF0E70" w:rsidRPr="00DF0E70" w:rsidRDefault="00DF0E70" w:rsidP="00DF0E7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DF0E70" w:rsidRPr="00DF0E70" w:rsidRDefault="00DF0E70" w:rsidP="00DF0E7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DF0E70" w:rsidRPr="00DF0E70" w:rsidRDefault="00DF0E70" w:rsidP="00DF0E7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DF0E70" w:rsidRPr="00DF0E70" w:rsidRDefault="00DF0E70" w:rsidP="00DF0E7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F0E7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DF0E70" w:rsidRPr="00DF0E70" w:rsidRDefault="00DF0E70" w:rsidP="00DF0E70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DF0E70" w:rsidRPr="00DF0E70" w:rsidRDefault="00DF0E70" w:rsidP="00DF0E7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F0E70">
        <w:rPr>
          <w:rFonts w:ascii="Simplified Arabic" w:eastAsia="Times New Roman" w:hAnsi="Simplified Arabic" w:cs="Simplified Arabic"/>
          <w:sz w:val="28"/>
          <w:szCs w:val="28"/>
          <w:rtl/>
        </w:rPr>
        <w:t>1- إذ كانت الأوراق قد خلت مما يفيد تمسك الطاعن  أمام محكمة الموضوع بدرجتها بأحقيته فى الإستئثار بعين النزاع بإعتبارها مستغلاً تجارياً للمورث ، و أنه أقدر من باقى الورثه على الإضطلاع بع طبقاً لنص المادة 906 من القانون المدنى ، فأنه لا يجوز إثارة هذا السبب لأول مرة أمام محكمة النقض .</w:t>
      </w:r>
    </w:p>
    <w:p w:rsidR="00DF0E70" w:rsidRPr="00DF0E70" w:rsidRDefault="00DF0E70" w:rsidP="00DF0E7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DF0E70" w:rsidRPr="00DF0E70" w:rsidRDefault="00DF0E70" w:rsidP="00DF0E70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DF0E70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496-  قاعدة رقم –   -  "</w:t>
      </w:r>
    </w:p>
    <w:p w:rsidR="00DF0E70" w:rsidRPr="00DF0E70" w:rsidRDefault="00DF0E70" w:rsidP="00DF0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DF0E70" w:rsidRDefault="003E5EDE">
      <w:bookmarkStart w:id="0" w:name="_GoBack"/>
      <w:bookmarkEnd w:id="0"/>
    </w:p>
    <w:sectPr w:rsidR="003E5EDE" w:rsidRPr="00DF0E70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43"/>
    <w:rsid w:val="0003272B"/>
    <w:rsid w:val="00267943"/>
    <w:rsid w:val="003E5EDE"/>
    <w:rsid w:val="00D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2020-06-03T13:29:00Z</dcterms:created>
  <dcterms:modified xsi:type="dcterms:W3CDTF">2020-06-03T13:29:00Z</dcterms:modified>
</cp:coreProperties>
</file>