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806" w:rsidRPr="00D45806" w:rsidRDefault="00D45806" w:rsidP="00D45806">
      <w:pPr>
        <w:spacing w:after="0" w:line="240" w:lineRule="auto"/>
        <w:jc w:val="center"/>
        <w:rPr>
          <w:rFonts w:ascii="Times New Roman" w:eastAsia="Times New Roman" w:hAnsi="Times New Roman" w:cs="PT Bold Heading"/>
          <w:b/>
          <w:bCs/>
          <w:color w:val="008000"/>
          <w:sz w:val="32"/>
          <w:szCs w:val="32"/>
          <w:lang w:eastAsia="ar-SA"/>
        </w:rPr>
      </w:pPr>
      <w:r w:rsidRPr="00D45806">
        <w:rPr>
          <w:rFonts w:ascii="Times New Roman" w:eastAsia="Times New Roman" w:hAnsi="Times New Roman" w:cs="PT Bold Heading" w:hint="cs"/>
          <w:b/>
          <w:bCs/>
          <w:color w:val="008000"/>
          <w:sz w:val="32"/>
          <w:szCs w:val="32"/>
          <w:rtl/>
          <w:lang w:eastAsia="ar-SA"/>
        </w:rPr>
        <w:t>الطعن رقم 272  لسنة 43 ق ، جلسة 11-1-1979</w:t>
      </w:r>
    </w:p>
    <w:p w:rsidR="00D45806" w:rsidRPr="00D45806" w:rsidRDefault="00D45806" w:rsidP="00D45806">
      <w:pPr>
        <w:spacing w:after="0" w:line="240" w:lineRule="auto"/>
        <w:jc w:val="center"/>
        <w:rPr>
          <w:rFonts w:ascii="Times New Roman" w:eastAsia="Times New Roman" w:hAnsi="Times New Roman" w:cs="PT Bold Heading"/>
          <w:b/>
          <w:bCs/>
          <w:color w:val="008000"/>
          <w:sz w:val="32"/>
          <w:szCs w:val="32"/>
          <w:lang w:eastAsia="ar-SA"/>
        </w:rPr>
      </w:pPr>
      <w:r w:rsidRPr="00D45806">
        <w:rPr>
          <w:rFonts w:ascii="Times New Roman" w:eastAsia="Times New Roman" w:hAnsi="Times New Roman" w:cs="PT Bold Heading" w:hint="cs"/>
          <w:b/>
          <w:bCs/>
          <w:color w:val="008000"/>
          <w:sz w:val="32"/>
          <w:szCs w:val="32"/>
          <w:rtl/>
          <w:lang w:eastAsia="ar-SA"/>
        </w:rPr>
        <w:t>الموضوع ،  و  الموجز :</w:t>
      </w:r>
    </w:p>
    <w:p w:rsidR="00D45806" w:rsidRPr="00D45806" w:rsidRDefault="00D45806" w:rsidP="00D45806">
      <w:pPr>
        <w:spacing w:after="0" w:line="240" w:lineRule="auto"/>
        <w:jc w:val="lowKashida"/>
        <w:rPr>
          <w:rFonts w:ascii="Times New Roman" w:eastAsia="Times New Roman" w:hAnsi="Times New Roman" w:cs="Simplified Arabic"/>
          <w:b/>
          <w:bCs/>
          <w:sz w:val="32"/>
          <w:szCs w:val="32"/>
        </w:rPr>
      </w:pPr>
    </w:p>
    <w:p w:rsidR="00D45806" w:rsidRPr="00D45806" w:rsidRDefault="00D45806" w:rsidP="00D45806">
      <w:pPr>
        <w:spacing w:after="0" w:line="240" w:lineRule="auto"/>
        <w:jc w:val="lowKashida"/>
        <w:rPr>
          <w:rFonts w:ascii="Times New Roman" w:eastAsia="Times New Roman" w:hAnsi="Times New Roman" w:cs="Simplified Arabic"/>
          <w:b/>
          <w:bCs/>
          <w:sz w:val="28"/>
          <w:szCs w:val="28"/>
        </w:rPr>
      </w:pPr>
      <w:r w:rsidRPr="00D45806">
        <w:rPr>
          <w:rFonts w:ascii="Simplified Arabic" w:eastAsia="Times New Roman" w:hAnsi="Simplified Arabic" w:cs="Simplified Arabic"/>
          <w:b/>
          <w:bCs/>
          <w:sz w:val="32"/>
          <w:szCs w:val="32"/>
          <w:rtl/>
        </w:rPr>
        <w:t xml:space="preserve">(1) </w:t>
      </w:r>
      <w:r w:rsidRPr="00D45806">
        <w:rPr>
          <w:rFonts w:ascii="Simplified Arabic" w:eastAsia="Times New Roman" w:hAnsi="Simplified Arabic" w:cs="Simplified Arabic"/>
          <w:b/>
          <w:bCs/>
          <w:sz w:val="28"/>
          <w:szCs w:val="24"/>
          <w:rtl/>
        </w:rPr>
        <w:t xml:space="preserve">   </w:t>
      </w:r>
      <w:r w:rsidRPr="00D45806">
        <w:rPr>
          <w:rFonts w:ascii="Simplified Arabic" w:eastAsia="Times New Roman" w:hAnsi="Simplified Arabic" w:cs="Simplified Arabic"/>
          <w:b/>
          <w:bCs/>
          <w:sz w:val="28"/>
          <w:szCs w:val="28"/>
          <w:rtl/>
        </w:rPr>
        <w:t xml:space="preserve"> استئناف </w:t>
      </w:r>
    </w:p>
    <w:p w:rsidR="00D45806" w:rsidRPr="00D45806" w:rsidRDefault="00D45806" w:rsidP="00D45806">
      <w:pPr>
        <w:spacing w:after="0" w:line="240" w:lineRule="auto"/>
        <w:jc w:val="lowKashida"/>
        <w:rPr>
          <w:rFonts w:ascii="Simplified Arabic" w:eastAsia="Times New Roman" w:hAnsi="Simplified Arabic" w:cs="Simplified Arabic"/>
          <w:sz w:val="28"/>
          <w:szCs w:val="28"/>
        </w:rPr>
      </w:pPr>
      <w:r w:rsidRPr="00D45806">
        <w:rPr>
          <w:rFonts w:ascii="Times New Roman" w:eastAsia="Times New Roman" w:hAnsi="Times New Roman" w:cs="Simplified Arabic"/>
          <w:sz w:val="28"/>
          <w:szCs w:val="28"/>
        </w:rPr>
        <w:t>-</w:t>
      </w:r>
      <w:r w:rsidRPr="00D45806">
        <w:rPr>
          <w:rFonts w:ascii="Simplified Arabic" w:eastAsia="Times New Roman" w:hAnsi="Simplified Arabic" w:cs="Simplified Arabic"/>
          <w:sz w:val="28"/>
          <w:szCs w:val="28"/>
          <w:rtl/>
        </w:rPr>
        <w:t xml:space="preserve"> الحكم بالغاء حكم مستأنف وجوب إحتوائه علي أسباب الالغاء الحكم بتعديل حكم مستأنف يكفي فيه ذكر الأسباب التي دعت للتعديل إعتبار الجزء الذي لم يشمله التعديل كأنه محكوم بتأييده بقاء أسباب الحكم المستأنف قائمة بالنسبة لهذا </w:t>
      </w:r>
      <w:proofErr w:type="gramStart"/>
      <w:r w:rsidRPr="00D45806">
        <w:rPr>
          <w:rFonts w:ascii="Simplified Arabic" w:eastAsia="Times New Roman" w:hAnsi="Simplified Arabic" w:cs="Simplified Arabic"/>
          <w:sz w:val="28"/>
          <w:szCs w:val="28"/>
          <w:rtl/>
        </w:rPr>
        <w:t>الجزء .</w:t>
      </w:r>
      <w:proofErr w:type="gramEnd"/>
      <w:r w:rsidRPr="00D45806">
        <w:rPr>
          <w:rFonts w:ascii="Simplified Arabic" w:eastAsia="Times New Roman" w:hAnsi="Simplified Arabic" w:cs="Simplified Arabic"/>
          <w:sz w:val="28"/>
          <w:szCs w:val="28"/>
          <w:rtl/>
        </w:rPr>
        <w:t xml:space="preserve"> مثال .</w:t>
      </w:r>
    </w:p>
    <w:p w:rsidR="00D45806" w:rsidRPr="00D45806" w:rsidRDefault="00D45806" w:rsidP="00D45806">
      <w:pPr>
        <w:spacing w:after="0" w:line="240" w:lineRule="auto"/>
        <w:jc w:val="lowKashida"/>
        <w:rPr>
          <w:rFonts w:ascii="Times New Roman" w:eastAsia="Times New Roman" w:hAnsi="Times New Roman" w:cs="Simplified Arabic"/>
          <w:b/>
          <w:bCs/>
          <w:sz w:val="28"/>
          <w:szCs w:val="24"/>
          <w:rtl/>
        </w:rPr>
      </w:pPr>
    </w:p>
    <w:p w:rsidR="00D45806" w:rsidRPr="00D45806" w:rsidRDefault="00D45806" w:rsidP="00D45806">
      <w:pPr>
        <w:spacing w:after="0" w:line="240" w:lineRule="auto"/>
        <w:jc w:val="center"/>
        <w:rPr>
          <w:rFonts w:ascii="Times New Roman" w:eastAsia="Times New Roman" w:hAnsi="Times New Roman" w:cs="PT Bold Heading"/>
          <w:b/>
          <w:bCs/>
          <w:color w:val="008000"/>
          <w:sz w:val="32"/>
          <w:szCs w:val="32"/>
          <w:lang w:eastAsia="ar-SA"/>
        </w:rPr>
      </w:pPr>
      <w:r w:rsidRPr="00D45806">
        <w:rPr>
          <w:rFonts w:ascii="Times New Roman" w:eastAsia="Times New Roman" w:hAnsi="Times New Roman" w:cs="PT Bold Heading" w:hint="cs"/>
          <w:b/>
          <w:bCs/>
          <w:color w:val="008000"/>
          <w:sz w:val="32"/>
          <w:szCs w:val="32"/>
          <w:rtl/>
          <w:lang w:eastAsia="ar-SA"/>
        </w:rPr>
        <w:t>القاعدة</w:t>
      </w:r>
    </w:p>
    <w:p w:rsidR="00D45806" w:rsidRPr="00D45806" w:rsidRDefault="00D45806" w:rsidP="00D45806">
      <w:pPr>
        <w:spacing w:after="0" w:line="240" w:lineRule="auto"/>
        <w:jc w:val="lowKashida"/>
        <w:rPr>
          <w:rFonts w:ascii="Times New Roman" w:eastAsia="Times New Roman" w:hAnsi="Times New Roman" w:cs="Simplified Arabic" w:hint="cs"/>
          <w:sz w:val="28"/>
          <w:szCs w:val="28"/>
          <w:rtl/>
        </w:rPr>
      </w:pPr>
      <w:r w:rsidRPr="00D45806">
        <w:rPr>
          <w:rFonts w:ascii="Simplified Arabic" w:eastAsia="Times New Roman" w:hAnsi="Simplified Arabic" w:cs="Simplified Arabic"/>
          <w:sz w:val="28"/>
          <w:szCs w:val="28"/>
          <w:rtl/>
        </w:rPr>
        <w:t>1- المقرر فى قضاء هذه المحكمة أنه يجب على محكمة الاستئناف عند الحكم بإلغاء حكم مستأنف أن تذكر الأسباب التى من أجلها قضت بإلغائه ، أما فى حالة الحكم بتعديله فلا ينصب هذا الوجوب إلا على الجزء الذى شمله التعديل فقط . و يعتبر الجزء الذى لم يشمله التعديل كأنه محكوم بتأييده و تبقى أسباب حكم محكمة أول درجة قائمة بالنسبة له ، و إذ كان الحكم الإبتدائى قد قضى على الطاعن و المطعون عليه الثالث متضامنين بتعويض قدره عشرة آلاف جنيه على أساس أن الأول مسئول عن الضرر الذى أحدثه الثانى "تابعه" بعمله غير المشروع أثناء و بسبب وظيفته لديه ، و عندما إستأنف الطاعن ذلك الحكم قضى الحكم المطعون فيه فى موضوع الإستئناف بإلزام المستأنف بصفته بأن يدفع للمستأنف عليهما مناصفة مبلغ ثلاثة آلاف جنيه ، فإن مفاد ذلك أن الحكم المطعون فيه عدل حكم محكمة أول درجة فى شأن مقدار التعويض فقط فيعتبر حكم محكمة أول درجة فيما عدا ذلك محكوم بتأييده ، و تبقى أسبابه قائمة فى هذا الخصوص ، و من بينها إقامته قضاءه على الطاعن بالتعويض بإعتباره مسئولاً عن أعمال تابعه المطعون عليه الثالث غير المشروعة تطبيقاً للمادة 174 من القانون المدنى ، و إذ كان الحكم المطعون فيه قد قضى على الطاعن فى إستئنافه بمبلغ ستة آلاف جنيه . و هو يقل عما قضى به عليه الحكم الإبتدائى المستأنف ، فإنه لا يكون قد أساء إليه بإستئنافه .</w:t>
      </w:r>
    </w:p>
    <w:p w:rsidR="00D45806" w:rsidRPr="00D45806" w:rsidRDefault="00D45806" w:rsidP="00D45806">
      <w:pPr>
        <w:spacing w:after="0" w:line="240" w:lineRule="auto"/>
        <w:jc w:val="lowKashida"/>
        <w:rPr>
          <w:rFonts w:ascii="Times New Roman" w:eastAsia="Times New Roman" w:hAnsi="Times New Roman" w:cs="Simplified Arabic"/>
          <w:sz w:val="28"/>
          <w:szCs w:val="28"/>
        </w:rPr>
      </w:pPr>
    </w:p>
    <w:p w:rsidR="00D45806" w:rsidRPr="00D45806" w:rsidRDefault="00D45806" w:rsidP="00D45806">
      <w:pPr>
        <w:spacing w:after="0" w:line="240" w:lineRule="auto"/>
        <w:jc w:val="lowKashida"/>
        <w:rPr>
          <w:rFonts w:ascii="Simplified Arabic" w:eastAsia="Times New Roman" w:hAnsi="Simplified Arabic" w:cs="Simplified Arabic"/>
          <w:sz w:val="28"/>
          <w:szCs w:val="28"/>
        </w:rPr>
      </w:pPr>
    </w:p>
    <w:p w:rsidR="00D45806" w:rsidRPr="00D45806" w:rsidRDefault="00D45806" w:rsidP="00D45806">
      <w:pPr>
        <w:spacing w:after="0" w:line="240" w:lineRule="auto"/>
        <w:jc w:val="center"/>
        <w:rPr>
          <w:rFonts w:ascii="Times New Roman" w:eastAsia="Times New Roman" w:hAnsi="Times New Roman" w:cs="Simplified Arabic"/>
          <w:sz w:val="24"/>
          <w:szCs w:val="24"/>
          <w:rtl/>
        </w:rPr>
      </w:pPr>
      <w:r w:rsidRPr="00D45806">
        <w:rPr>
          <w:rFonts w:ascii="Simplified Arabic" w:eastAsia="Times New Roman" w:hAnsi="Simplified Arabic" w:cs="Simplified Arabic"/>
          <w:sz w:val="24"/>
          <w:szCs w:val="24"/>
          <w:rtl/>
        </w:rPr>
        <w:t>" سنة المكتب الفنى "  30 " رقم الصفحة - 195  -  قاعدة رقم –   -  "</w:t>
      </w:r>
    </w:p>
    <w:p w:rsidR="00D45806" w:rsidRPr="00D45806" w:rsidRDefault="00D45806" w:rsidP="00D45806">
      <w:pPr>
        <w:spacing w:after="0" w:line="240" w:lineRule="auto"/>
        <w:rPr>
          <w:rFonts w:ascii="Times New Roman" w:eastAsia="Times New Roman" w:hAnsi="Times New Roman" w:cs="Times New Roman"/>
          <w:sz w:val="24"/>
          <w:szCs w:val="24"/>
        </w:rPr>
      </w:pPr>
    </w:p>
    <w:p w:rsidR="003E5EDE" w:rsidRPr="00D45806" w:rsidRDefault="003E5EDE">
      <w:bookmarkStart w:id="0" w:name="_GoBack"/>
      <w:bookmarkEnd w:id="0"/>
    </w:p>
    <w:sectPr w:rsidR="003E5EDE" w:rsidRPr="00D4580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E7"/>
    <w:rsid w:val="0003272B"/>
    <w:rsid w:val="003E5EDE"/>
    <w:rsid w:val="00A518E7"/>
    <w:rsid w:val="00D458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1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2020-06-03T13:13:00Z</dcterms:created>
  <dcterms:modified xsi:type="dcterms:W3CDTF">2020-06-03T13:13:00Z</dcterms:modified>
</cp:coreProperties>
</file>