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D1D" w:rsidRPr="00AE3D1D" w:rsidRDefault="00AE3D1D" w:rsidP="00AE3D1D">
      <w:pPr>
        <w:spacing w:after="0" w:line="240" w:lineRule="auto"/>
        <w:jc w:val="center"/>
        <w:rPr>
          <w:rFonts w:ascii="Times New Roman" w:eastAsia="Times New Roman" w:hAnsi="Times New Roman" w:cs="PT Bold Heading"/>
          <w:b/>
          <w:bCs/>
          <w:color w:val="008000"/>
          <w:sz w:val="32"/>
          <w:szCs w:val="32"/>
          <w:lang w:eastAsia="ar-SA"/>
        </w:rPr>
      </w:pPr>
      <w:r w:rsidRPr="00AE3D1D">
        <w:rPr>
          <w:rFonts w:ascii="Times New Roman" w:eastAsia="Times New Roman" w:hAnsi="Times New Roman" w:cs="PT Bold Heading" w:hint="cs"/>
          <w:b/>
          <w:bCs/>
          <w:color w:val="008000"/>
          <w:sz w:val="32"/>
          <w:szCs w:val="32"/>
          <w:rtl/>
          <w:lang w:eastAsia="ar-SA"/>
        </w:rPr>
        <w:t xml:space="preserve">الطعن رقم 320 لسنة 47 ق </w:t>
      </w:r>
      <w:r w:rsidRPr="00AE3D1D">
        <w:rPr>
          <w:rFonts w:ascii="Times New Roman" w:eastAsia="Times New Roman" w:hAnsi="Times New Roman" w:cs="Times New Roman" w:hint="cs"/>
          <w:b/>
          <w:bCs/>
          <w:color w:val="008000"/>
          <w:sz w:val="32"/>
          <w:szCs w:val="32"/>
          <w:rtl/>
          <w:lang w:eastAsia="ar-SA"/>
        </w:rPr>
        <w:t>-</w:t>
      </w:r>
      <w:r w:rsidRPr="00AE3D1D">
        <w:rPr>
          <w:rFonts w:ascii="Times New Roman" w:eastAsia="Times New Roman" w:hAnsi="Times New Roman" w:cs="PT Bold Heading" w:hint="cs"/>
          <w:b/>
          <w:bCs/>
          <w:color w:val="008000"/>
          <w:sz w:val="32"/>
          <w:szCs w:val="32"/>
          <w:rtl/>
          <w:lang w:eastAsia="ar-SA"/>
        </w:rPr>
        <w:t xml:space="preserve">  جلسة 1-1-1979</w:t>
      </w:r>
    </w:p>
    <w:p w:rsidR="00AE3D1D" w:rsidRPr="00AE3D1D" w:rsidRDefault="00AE3D1D" w:rsidP="00AE3D1D">
      <w:pPr>
        <w:spacing w:after="0" w:line="240" w:lineRule="auto"/>
        <w:jc w:val="center"/>
        <w:rPr>
          <w:rFonts w:ascii="Times New Roman" w:eastAsia="Times New Roman" w:hAnsi="Times New Roman" w:cs="PT Bold Heading"/>
          <w:b/>
          <w:bCs/>
          <w:color w:val="008000"/>
          <w:sz w:val="32"/>
          <w:szCs w:val="32"/>
          <w:lang w:eastAsia="ar-SA"/>
        </w:rPr>
      </w:pPr>
      <w:r w:rsidRPr="00AE3D1D">
        <w:rPr>
          <w:rFonts w:ascii="Times New Roman" w:eastAsia="Times New Roman" w:hAnsi="Times New Roman" w:cs="PT Bold Heading" w:hint="cs"/>
          <w:b/>
          <w:bCs/>
          <w:color w:val="008000"/>
          <w:sz w:val="32"/>
          <w:szCs w:val="32"/>
          <w:rtl/>
          <w:lang w:eastAsia="ar-SA"/>
        </w:rPr>
        <w:t>الموضوع ،  و  الموجز :</w:t>
      </w:r>
    </w:p>
    <w:p w:rsidR="00AE3D1D" w:rsidRPr="00AE3D1D" w:rsidRDefault="00AE3D1D" w:rsidP="00AE3D1D">
      <w:pPr>
        <w:spacing w:after="0" w:line="240" w:lineRule="auto"/>
        <w:jc w:val="lowKashida"/>
        <w:rPr>
          <w:rFonts w:ascii="Times New Roman" w:eastAsia="Times New Roman" w:hAnsi="Times New Roman" w:cs="Simplified Arabic"/>
          <w:b/>
          <w:bCs/>
          <w:sz w:val="32"/>
          <w:szCs w:val="32"/>
        </w:rPr>
      </w:pPr>
    </w:p>
    <w:p w:rsidR="00AE3D1D" w:rsidRPr="00AE3D1D" w:rsidRDefault="00AE3D1D" w:rsidP="00AE3D1D">
      <w:pPr>
        <w:spacing w:after="0" w:line="240" w:lineRule="auto"/>
        <w:jc w:val="lowKashida"/>
        <w:rPr>
          <w:rFonts w:ascii="Times New Roman" w:eastAsia="Times New Roman" w:hAnsi="Times New Roman" w:cs="Simplified Arabic"/>
          <w:b/>
          <w:bCs/>
          <w:sz w:val="28"/>
          <w:szCs w:val="28"/>
        </w:rPr>
      </w:pPr>
      <w:r w:rsidRPr="00AE3D1D">
        <w:rPr>
          <w:rFonts w:ascii="Simplified Arabic" w:eastAsia="Times New Roman" w:hAnsi="Simplified Arabic" w:cs="Simplified Arabic"/>
          <w:b/>
          <w:bCs/>
          <w:sz w:val="32"/>
          <w:szCs w:val="32"/>
          <w:rtl/>
        </w:rPr>
        <w:t xml:space="preserve">(1) </w:t>
      </w:r>
      <w:r w:rsidRPr="00AE3D1D">
        <w:rPr>
          <w:rFonts w:ascii="Simplified Arabic" w:eastAsia="Times New Roman" w:hAnsi="Simplified Arabic" w:cs="Simplified Arabic"/>
          <w:b/>
          <w:bCs/>
          <w:sz w:val="28"/>
          <w:szCs w:val="24"/>
          <w:rtl/>
        </w:rPr>
        <w:t xml:space="preserve">   </w:t>
      </w:r>
      <w:r w:rsidRPr="00AE3D1D">
        <w:rPr>
          <w:rFonts w:ascii="Simplified Arabic" w:eastAsia="Times New Roman" w:hAnsi="Simplified Arabic" w:cs="Simplified Arabic"/>
          <w:b/>
          <w:bCs/>
          <w:sz w:val="28"/>
          <w:szCs w:val="28"/>
          <w:rtl/>
        </w:rPr>
        <w:t xml:space="preserve"> أمر أداء</w:t>
      </w:r>
    </w:p>
    <w:p w:rsidR="00AE3D1D" w:rsidRPr="00AE3D1D" w:rsidRDefault="00AE3D1D" w:rsidP="00AE3D1D">
      <w:pPr>
        <w:spacing w:after="0" w:line="240" w:lineRule="auto"/>
        <w:jc w:val="lowKashida"/>
        <w:rPr>
          <w:rFonts w:ascii="Times New Roman" w:eastAsia="Times New Roman" w:hAnsi="Times New Roman" w:cs="Simplified Arabic"/>
          <w:b/>
          <w:bCs/>
          <w:sz w:val="28"/>
          <w:szCs w:val="24"/>
        </w:rPr>
      </w:pPr>
    </w:p>
    <w:p w:rsidR="00AE3D1D" w:rsidRPr="00AE3D1D" w:rsidRDefault="00AE3D1D" w:rsidP="00AE3D1D">
      <w:pPr>
        <w:spacing w:after="0" w:line="240" w:lineRule="auto"/>
        <w:jc w:val="lowKashida"/>
        <w:rPr>
          <w:rFonts w:ascii="Simplified Arabic" w:eastAsia="Times New Roman" w:hAnsi="Simplified Arabic" w:cs="Simplified Arabic"/>
          <w:b/>
          <w:bCs/>
          <w:sz w:val="28"/>
          <w:szCs w:val="24"/>
        </w:rPr>
      </w:pPr>
      <w:r w:rsidRPr="00AE3D1D">
        <w:rPr>
          <w:rFonts w:ascii="Simplified Arabic" w:eastAsia="Times New Roman" w:hAnsi="Simplified Arabic" w:cs="Simplified Arabic"/>
          <w:b/>
          <w:bCs/>
          <w:sz w:val="32"/>
          <w:szCs w:val="32"/>
          <w:rtl/>
        </w:rPr>
        <w:t xml:space="preserve">(2) </w:t>
      </w:r>
      <w:r w:rsidRPr="00AE3D1D">
        <w:rPr>
          <w:rFonts w:ascii="Simplified Arabic" w:eastAsia="Times New Roman" w:hAnsi="Simplified Arabic" w:cs="Simplified Arabic"/>
          <w:b/>
          <w:bCs/>
          <w:sz w:val="28"/>
          <w:szCs w:val="24"/>
          <w:rtl/>
        </w:rPr>
        <w:t xml:space="preserve">    </w:t>
      </w:r>
      <w:r w:rsidRPr="00AE3D1D">
        <w:rPr>
          <w:rFonts w:ascii="Simplified Arabic" w:eastAsia="Times New Roman" w:hAnsi="Simplified Arabic" w:cs="Simplified Arabic"/>
          <w:b/>
          <w:bCs/>
          <w:sz w:val="28"/>
          <w:szCs w:val="28"/>
          <w:rtl/>
        </w:rPr>
        <w:t>دعوى</w:t>
      </w:r>
    </w:p>
    <w:p w:rsidR="00AE3D1D" w:rsidRPr="00AE3D1D" w:rsidRDefault="00AE3D1D" w:rsidP="00AE3D1D">
      <w:pPr>
        <w:spacing w:after="0" w:line="240" w:lineRule="auto"/>
        <w:jc w:val="lowKashida"/>
        <w:rPr>
          <w:rFonts w:ascii="Times New Roman" w:eastAsia="Times New Roman" w:hAnsi="Times New Roman" w:cs="Simplified Arabic"/>
          <w:sz w:val="28"/>
          <w:szCs w:val="28"/>
          <w:rtl/>
        </w:rPr>
      </w:pPr>
      <w:r w:rsidRPr="00AE3D1D">
        <w:rPr>
          <w:rFonts w:ascii="Times New Roman" w:eastAsia="Times New Roman" w:hAnsi="Times New Roman" w:cs="Simplified Arabic"/>
          <w:sz w:val="28"/>
          <w:szCs w:val="28"/>
        </w:rPr>
        <w:t>-</w:t>
      </w:r>
      <w:r w:rsidRPr="00AE3D1D">
        <w:rPr>
          <w:rFonts w:ascii="Simplified Arabic" w:eastAsia="Times New Roman" w:hAnsi="Simplified Arabic" w:cs="Simplified Arabic"/>
          <w:sz w:val="28"/>
          <w:szCs w:val="28"/>
          <w:rtl/>
        </w:rPr>
        <w:t xml:space="preserve"> تخلف الخصم عن اتخاذ إجراء الإعلان في الميعاد الذي يحدده القانون خضوعه للجزاء المنصوص عليه فيه متي كان الميعاد قد بدأ وانقضي في </w:t>
      </w:r>
      <w:proofErr w:type="gramStart"/>
      <w:r w:rsidRPr="00AE3D1D">
        <w:rPr>
          <w:rFonts w:ascii="Simplified Arabic" w:eastAsia="Times New Roman" w:hAnsi="Simplified Arabic" w:cs="Simplified Arabic"/>
          <w:sz w:val="28"/>
          <w:szCs w:val="28"/>
          <w:rtl/>
        </w:rPr>
        <w:t>ظله .</w:t>
      </w:r>
      <w:proofErr w:type="gramEnd"/>
      <w:r w:rsidRPr="00AE3D1D">
        <w:rPr>
          <w:rFonts w:ascii="Simplified Arabic" w:eastAsia="Times New Roman" w:hAnsi="Simplified Arabic" w:cs="Simplified Arabic"/>
          <w:sz w:val="28"/>
          <w:szCs w:val="28"/>
          <w:rtl/>
        </w:rPr>
        <w:t xml:space="preserve"> لا يغير من ذلك صدور قانون لاحق يلغي أو يعدل هذه الآثار مثال . بشأن اعتبار الدعوي كأن لم تكن في المادة 7 مرافعات</w:t>
      </w:r>
    </w:p>
    <w:p w:rsidR="00AE3D1D" w:rsidRPr="00AE3D1D" w:rsidRDefault="00AE3D1D" w:rsidP="00AE3D1D">
      <w:pPr>
        <w:spacing w:after="0" w:line="240" w:lineRule="auto"/>
        <w:jc w:val="lowKashida"/>
        <w:rPr>
          <w:rFonts w:ascii="Simplified Arabic" w:eastAsia="Times New Roman" w:hAnsi="Simplified Arabic" w:cs="Simplified Arabic"/>
          <w:b/>
          <w:bCs/>
          <w:sz w:val="28"/>
          <w:szCs w:val="24"/>
        </w:rPr>
      </w:pPr>
    </w:p>
    <w:p w:rsidR="00AE3D1D" w:rsidRPr="00AE3D1D" w:rsidRDefault="00AE3D1D" w:rsidP="00AE3D1D">
      <w:pPr>
        <w:spacing w:after="0" w:line="240" w:lineRule="auto"/>
        <w:jc w:val="lowKashida"/>
        <w:rPr>
          <w:rFonts w:ascii="Simplified Arabic" w:eastAsia="Times New Roman" w:hAnsi="Simplified Arabic" w:cs="Simplified Arabic"/>
          <w:b/>
          <w:bCs/>
          <w:sz w:val="28"/>
          <w:szCs w:val="24"/>
          <w:rtl/>
        </w:rPr>
      </w:pPr>
      <w:r w:rsidRPr="00AE3D1D">
        <w:rPr>
          <w:rFonts w:ascii="Simplified Arabic" w:eastAsia="Times New Roman" w:hAnsi="Simplified Arabic" w:cs="Simplified Arabic"/>
          <w:b/>
          <w:bCs/>
          <w:sz w:val="32"/>
          <w:szCs w:val="32"/>
          <w:rtl/>
        </w:rPr>
        <w:t xml:space="preserve">(3) </w:t>
      </w:r>
      <w:r w:rsidRPr="00AE3D1D">
        <w:rPr>
          <w:rFonts w:ascii="Simplified Arabic" w:eastAsia="Times New Roman" w:hAnsi="Simplified Arabic" w:cs="Simplified Arabic"/>
          <w:b/>
          <w:bCs/>
          <w:sz w:val="28"/>
          <w:szCs w:val="24"/>
          <w:rtl/>
        </w:rPr>
        <w:t xml:space="preserve">    </w:t>
      </w:r>
      <w:r w:rsidRPr="00AE3D1D">
        <w:rPr>
          <w:rFonts w:ascii="Simplified Arabic" w:eastAsia="Times New Roman" w:hAnsi="Simplified Arabic" w:cs="Simplified Arabic"/>
          <w:b/>
          <w:bCs/>
          <w:sz w:val="28"/>
          <w:szCs w:val="28"/>
          <w:rtl/>
        </w:rPr>
        <w:t>دعوى</w:t>
      </w:r>
    </w:p>
    <w:p w:rsidR="00AE3D1D" w:rsidRPr="00AE3D1D" w:rsidRDefault="00AE3D1D" w:rsidP="00AE3D1D">
      <w:pPr>
        <w:spacing w:after="0" w:line="240" w:lineRule="auto"/>
        <w:jc w:val="lowKashida"/>
        <w:rPr>
          <w:rFonts w:ascii="Simplified Arabic" w:eastAsia="Times New Roman" w:hAnsi="Simplified Arabic" w:cs="Simplified Arabic"/>
          <w:sz w:val="28"/>
          <w:szCs w:val="28"/>
          <w:rtl/>
        </w:rPr>
      </w:pPr>
      <w:r w:rsidRPr="00AE3D1D">
        <w:rPr>
          <w:rFonts w:ascii="Times New Roman" w:eastAsia="Times New Roman" w:hAnsi="Times New Roman" w:cs="Simplified Arabic"/>
          <w:sz w:val="28"/>
          <w:szCs w:val="28"/>
        </w:rPr>
        <w:t>-</w:t>
      </w:r>
      <w:r w:rsidRPr="00AE3D1D">
        <w:rPr>
          <w:rFonts w:ascii="Simplified Arabic" w:eastAsia="Times New Roman" w:hAnsi="Simplified Arabic" w:cs="Simplified Arabic"/>
          <w:sz w:val="28"/>
          <w:szCs w:val="28"/>
          <w:rtl/>
        </w:rPr>
        <w:t xml:space="preserve"> الحكم بإعتبار الدعوي كأن لم </w:t>
      </w:r>
      <w:proofErr w:type="gramStart"/>
      <w:r w:rsidRPr="00AE3D1D">
        <w:rPr>
          <w:rFonts w:ascii="Simplified Arabic" w:eastAsia="Times New Roman" w:hAnsi="Simplified Arabic" w:cs="Simplified Arabic"/>
          <w:sz w:val="28"/>
          <w:szCs w:val="28"/>
          <w:rtl/>
        </w:rPr>
        <w:t>تكن .</w:t>
      </w:r>
      <w:proofErr w:type="gramEnd"/>
      <w:r w:rsidRPr="00AE3D1D">
        <w:rPr>
          <w:rFonts w:ascii="Simplified Arabic" w:eastAsia="Times New Roman" w:hAnsi="Simplified Arabic" w:cs="Simplified Arabic"/>
          <w:sz w:val="28"/>
          <w:szCs w:val="28"/>
          <w:rtl/>
        </w:rPr>
        <w:t xml:space="preserve"> أثره . زوالها هي والآثار المترتبة عليها بحث الحكم لموضوع الدعوي لا محل له</w:t>
      </w:r>
    </w:p>
    <w:p w:rsidR="00AE3D1D" w:rsidRPr="00AE3D1D" w:rsidRDefault="00AE3D1D" w:rsidP="00AE3D1D">
      <w:pPr>
        <w:spacing w:after="0" w:line="240" w:lineRule="auto"/>
        <w:jc w:val="center"/>
        <w:rPr>
          <w:rFonts w:ascii="Times New Roman" w:eastAsia="Times New Roman" w:hAnsi="Times New Roman" w:cs="PT Bold Heading"/>
          <w:b/>
          <w:bCs/>
          <w:color w:val="008000"/>
          <w:sz w:val="32"/>
          <w:szCs w:val="32"/>
          <w:rtl/>
          <w:lang w:eastAsia="ar-SA"/>
        </w:rPr>
      </w:pPr>
      <w:r w:rsidRPr="00AE3D1D">
        <w:rPr>
          <w:rFonts w:ascii="Times New Roman" w:eastAsia="Times New Roman" w:hAnsi="Times New Roman" w:cs="PT Bold Heading" w:hint="cs"/>
          <w:b/>
          <w:bCs/>
          <w:color w:val="008000"/>
          <w:sz w:val="32"/>
          <w:szCs w:val="32"/>
          <w:rtl/>
          <w:lang w:eastAsia="ar-SA"/>
        </w:rPr>
        <w:t>القاعدة</w:t>
      </w:r>
    </w:p>
    <w:p w:rsidR="00AE3D1D" w:rsidRPr="00AE3D1D" w:rsidRDefault="00AE3D1D" w:rsidP="00AE3D1D">
      <w:pPr>
        <w:spacing w:after="0" w:line="240" w:lineRule="auto"/>
        <w:jc w:val="lowKashida"/>
        <w:rPr>
          <w:rFonts w:ascii="Times New Roman" w:eastAsia="Times New Roman" w:hAnsi="Times New Roman" w:cs="Simplified Arabic"/>
          <w:sz w:val="28"/>
          <w:szCs w:val="28"/>
        </w:rPr>
      </w:pPr>
      <w:r w:rsidRPr="00AE3D1D">
        <w:rPr>
          <w:rFonts w:ascii="Simplified Arabic" w:eastAsia="Times New Roman" w:hAnsi="Simplified Arabic" w:cs="Simplified Arabic"/>
          <w:sz w:val="28"/>
          <w:szCs w:val="28"/>
          <w:rtl/>
        </w:rPr>
        <w:t>1- نصوص المواد 201 ، 206 -1 ، 207 -1 من قانون المرافعات أن المشرع و أن كان قد إستثنى المطالبة بالديون الثابتة بالكتابة و المتوافر فيها شروط المادة 201 مرافعات من القواعد العامة فى رفع الدعوى إبتداء إلا أنه أخضع التظلم من أوامر الأداء للقواعد و الإجراءات المقررة لصحيفة الدعوى و منها المادة 70 من قانون المرافعات المتعلقة بالجزاء على عدم تكليف المدعى عليه بالحضور فى خلال ثلاثة أشهر من تقديم صحيفة الدعوى إلى قلم الكتاب .</w:t>
      </w:r>
    </w:p>
    <w:p w:rsidR="00AE3D1D" w:rsidRPr="00AE3D1D" w:rsidRDefault="00AE3D1D" w:rsidP="00AE3D1D">
      <w:pPr>
        <w:spacing w:after="0" w:line="240" w:lineRule="auto"/>
        <w:jc w:val="lowKashida"/>
        <w:rPr>
          <w:rFonts w:ascii="Times New Roman" w:eastAsia="Times New Roman" w:hAnsi="Times New Roman" w:cs="Simplified Arabic"/>
          <w:sz w:val="28"/>
          <w:szCs w:val="28"/>
        </w:rPr>
      </w:pPr>
    </w:p>
    <w:p w:rsidR="00AE3D1D" w:rsidRPr="00AE3D1D" w:rsidRDefault="00AE3D1D" w:rsidP="00AE3D1D">
      <w:pPr>
        <w:spacing w:after="0" w:line="240" w:lineRule="auto"/>
        <w:jc w:val="lowKashida"/>
        <w:rPr>
          <w:rFonts w:ascii="Times New Roman" w:eastAsia="Times New Roman" w:hAnsi="Times New Roman" w:cs="Simplified Arabic"/>
          <w:sz w:val="28"/>
          <w:szCs w:val="28"/>
        </w:rPr>
      </w:pPr>
      <w:r w:rsidRPr="00AE3D1D">
        <w:rPr>
          <w:rFonts w:ascii="Simplified Arabic" w:eastAsia="Times New Roman" w:hAnsi="Simplified Arabic" w:cs="Simplified Arabic"/>
          <w:sz w:val="28"/>
          <w:szCs w:val="28"/>
          <w:rtl/>
        </w:rPr>
        <w:t>2- إذا نص قانون على ميعاد حتمى لإتخاذ إجراء يحصل بالإعلان فلا يعتبر الميعاد مرعياً إلا إذا تم إعلان الخصم خلاله و يخضع للتراخى فى إتخاذ الإجراء خلال الميعاد المحدد للأثار و الجزاء المنصوص عليه فى هذا القانون متى كان الميعاد قد بدأ و إنقضى فى ظله و لو كان قد صدر بعد إنقضاء هذا الميعاد قانون آخر يلغى أو يعدل هذه الآثار فإذا كان ميعاد الثلاثة شهور الذى إستلزمت المادة 70 من قانون المرافعات أن يتم إعلان صحيفة إفتتاح الدعوى خلاله قد بدأ و إنقضى دون إعلان الصحيفة قبل تعديل تلك المادة بالقانون رقم 75 لسنة 1976 فإن نص المادة 70 قبل تعديلها يكون هو الواجب التطبيق و يجب على المحكمة أن توقع الجزاء الذى رتبته تلك المادة على التراخى فى إعلان الصحيفة خلال الميعاد المحدد متى طالب بتوقيع الجزاء صاحب المصلحة فيه دون أن تملك المحكمة خياراً فيه .</w:t>
      </w:r>
    </w:p>
    <w:p w:rsidR="00AE3D1D" w:rsidRPr="00AE3D1D" w:rsidRDefault="00AE3D1D" w:rsidP="00AE3D1D">
      <w:pPr>
        <w:spacing w:after="0" w:line="240" w:lineRule="auto"/>
        <w:jc w:val="lowKashida"/>
        <w:rPr>
          <w:rFonts w:ascii="Times New Roman" w:eastAsia="Times New Roman" w:hAnsi="Times New Roman" w:cs="Simplified Arabic"/>
          <w:sz w:val="28"/>
          <w:szCs w:val="28"/>
        </w:rPr>
      </w:pPr>
    </w:p>
    <w:p w:rsidR="00AE3D1D" w:rsidRPr="00AE3D1D" w:rsidRDefault="00AE3D1D" w:rsidP="00AE3D1D">
      <w:pPr>
        <w:spacing w:after="0" w:line="240" w:lineRule="auto"/>
        <w:jc w:val="lowKashida"/>
        <w:rPr>
          <w:rFonts w:ascii="Times New Roman" w:eastAsia="Times New Roman" w:hAnsi="Times New Roman" w:cs="Simplified Arabic"/>
          <w:sz w:val="28"/>
          <w:szCs w:val="28"/>
        </w:rPr>
      </w:pPr>
      <w:r w:rsidRPr="00AE3D1D">
        <w:rPr>
          <w:rFonts w:ascii="Simplified Arabic" w:eastAsia="Times New Roman" w:hAnsi="Simplified Arabic" w:cs="Simplified Arabic"/>
          <w:sz w:val="28"/>
          <w:szCs w:val="28"/>
          <w:rtl/>
        </w:rPr>
        <w:lastRenderedPageBreak/>
        <w:t>3- إذا إنتهى الحكم المطعون فيه صحيحاً بإعتبار الدعوى كأن لم تكن فإنه يترتب على ذلك زوالها بما فى ذلك صحيفة إفتتاحها و زوال الآثار القانونية المترتبة عليها و يمتنع بالتالى على المحكمة الخوض فى موضوعها .</w:t>
      </w:r>
    </w:p>
    <w:p w:rsidR="00AE3D1D" w:rsidRPr="00AE3D1D" w:rsidRDefault="00AE3D1D" w:rsidP="00AE3D1D">
      <w:pPr>
        <w:spacing w:after="0" w:line="240" w:lineRule="auto"/>
        <w:jc w:val="lowKashida"/>
        <w:rPr>
          <w:rFonts w:ascii="Times New Roman" w:eastAsia="Times New Roman" w:hAnsi="Times New Roman" w:cs="Simplified Arabic"/>
          <w:sz w:val="28"/>
          <w:szCs w:val="28"/>
        </w:rPr>
      </w:pPr>
    </w:p>
    <w:p w:rsidR="00AE3D1D" w:rsidRPr="00AE3D1D" w:rsidRDefault="00AE3D1D" w:rsidP="00AE3D1D">
      <w:pPr>
        <w:spacing w:after="0" w:line="240" w:lineRule="auto"/>
        <w:jc w:val="center"/>
        <w:rPr>
          <w:rFonts w:ascii="Times New Roman" w:eastAsia="Times New Roman" w:hAnsi="Times New Roman" w:cs="Simplified Arabic"/>
          <w:sz w:val="24"/>
          <w:szCs w:val="24"/>
        </w:rPr>
      </w:pPr>
      <w:r w:rsidRPr="00AE3D1D">
        <w:rPr>
          <w:rFonts w:ascii="Simplified Arabic" w:eastAsia="Times New Roman" w:hAnsi="Simplified Arabic" w:cs="Simplified Arabic"/>
          <w:sz w:val="24"/>
          <w:szCs w:val="24"/>
          <w:rtl/>
        </w:rPr>
        <w:t>" سنة المكتب الفنى "  30 " رقم الصفحة - 105  -  قاعدة رقم –   -  "</w:t>
      </w:r>
    </w:p>
    <w:p w:rsidR="00AE3D1D" w:rsidRPr="00AE3D1D" w:rsidRDefault="00AE3D1D" w:rsidP="00AE3D1D">
      <w:pPr>
        <w:spacing w:after="0" w:line="240" w:lineRule="auto"/>
        <w:rPr>
          <w:rFonts w:ascii="Times New Roman" w:eastAsia="Times New Roman" w:hAnsi="Times New Roman" w:cs="Times New Roman"/>
          <w:sz w:val="24"/>
          <w:szCs w:val="24"/>
        </w:rPr>
      </w:pPr>
    </w:p>
    <w:p w:rsidR="003E5EDE" w:rsidRPr="00AE3D1D" w:rsidRDefault="003E5EDE">
      <w:bookmarkStart w:id="0" w:name="_GoBack"/>
      <w:bookmarkEnd w:id="0"/>
    </w:p>
    <w:sectPr w:rsidR="003E5EDE" w:rsidRPr="00AE3D1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EB"/>
    <w:rsid w:val="0003272B"/>
    <w:rsid w:val="00317BEB"/>
    <w:rsid w:val="003E5EDE"/>
    <w:rsid w:val="00AE3D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64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2020-06-03T13:13:00Z</dcterms:created>
  <dcterms:modified xsi:type="dcterms:W3CDTF">2020-06-03T13:13:00Z</dcterms:modified>
</cp:coreProperties>
</file>