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BD8" w:rsidRPr="006E3BD8" w:rsidRDefault="006E3BD8" w:rsidP="006E3BD8">
      <w:pPr>
        <w:spacing w:after="0" w:line="240" w:lineRule="auto"/>
        <w:jc w:val="center"/>
        <w:rPr>
          <w:rFonts w:ascii="Times New Roman" w:eastAsia="Times New Roman" w:hAnsi="Times New Roman" w:cs="PT Bold Heading"/>
          <w:b/>
          <w:bCs/>
          <w:color w:val="008000"/>
          <w:sz w:val="32"/>
          <w:szCs w:val="32"/>
          <w:lang w:eastAsia="ar-SA"/>
        </w:rPr>
      </w:pPr>
      <w:r w:rsidRPr="006E3BD8">
        <w:rPr>
          <w:rFonts w:ascii="Times New Roman" w:eastAsia="Times New Roman" w:hAnsi="Times New Roman" w:cs="PT Bold Heading" w:hint="cs"/>
          <w:b/>
          <w:bCs/>
          <w:color w:val="008000"/>
          <w:sz w:val="32"/>
          <w:szCs w:val="32"/>
          <w:rtl/>
          <w:lang w:eastAsia="ar-SA"/>
        </w:rPr>
        <w:t xml:space="preserve">الطعن رقم 469 لسنة 44 ق </w:t>
      </w:r>
      <w:r w:rsidRPr="006E3BD8">
        <w:rPr>
          <w:rFonts w:ascii="Times New Roman" w:eastAsia="Times New Roman" w:hAnsi="Times New Roman" w:cs="Times New Roman" w:hint="cs"/>
          <w:b/>
          <w:bCs/>
          <w:color w:val="008000"/>
          <w:sz w:val="32"/>
          <w:szCs w:val="32"/>
          <w:rtl/>
          <w:lang w:eastAsia="ar-SA"/>
        </w:rPr>
        <w:t>-</w:t>
      </w:r>
      <w:r w:rsidRPr="006E3BD8">
        <w:rPr>
          <w:rFonts w:ascii="Times New Roman" w:eastAsia="Times New Roman" w:hAnsi="Times New Roman" w:cs="PT Bold Heading" w:hint="cs"/>
          <w:b/>
          <w:bCs/>
          <w:color w:val="008000"/>
          <w:sz w:val="32"/>
          <w:szCs w:val="32"/>
          <w:rtl/>
          <w:lang w:eastAsia="ar-SA"/>
        </w:rPr>
        <w:t xml:space="preserve"> جلسة 4-1-1979</w:t>
      </w:r>
    </w:p>
    <w:p w:rsidR="006E3BD8" w:rsidRPr="006E3BD8" w:rsidRDefault="006E3BD8" w:rsidP="006E3BD8">
      <w:pPr>
        <w:spacing w:after="0" w:line="240" w:lineRule="auto"/>
        <w:jc w:val="center"/>
        <w:rPr>
          <w:rFonts w:ascii="Times New Roman" w:eastAsia="Times New Roman" w:hAnsi="Times New Roman" w:cs="PT Bold Heading"/>
          <w:b/>
          <w:bCs/>
          <w:color w:val="008000"/>
          <w:sz w:val="32"/>
          <w:szCs w:val="32"/>
          <w:lang w:eastAsia="ar-SA"/>
        </w:rPr>
      </w:pPr>
      <w:r w:rsidRPr="006E3BD8">
        <w:rPr>
          <w:rFonts w:ascii="Times New Roman" w:eastAsia="Times New Roman" w:hAnsi="Times New Roman" w:cs="PT Bold Heading" w:hint="cs"/>
          <w:b/>
          <w:bCs/>
          <w:color w:val="008000"/>
          <w:sz w:val="32"/>
          <w:szCs w:val="32"/>
          <w:rtl/>
          <w:lang w:eastAsia="ar-SA"/>
        </w:rPr>
        <w:t>الموضوع ،  و  الموجز :</w:t>
      </w:r>
    </w:p>
    <w:p w:rsidR="006E3BD8" w:rsidRPr="006E3BD8" w:rsidRDefault="006E3BD8" w:rsidP="006E3BD8">
      <w:pPr>
        <w:spacing w:after="0" w:line="240" w:lineRule="auto"/>
        <w:jc w:val="lowKashida"/>
        <w:rPr>
          <w:rFonts w:ascii="Times New Roman" w:eastAsia="Times New Roman" w:hAnsi="Times New Roman" w:cs="Simplified Arabic"/>
          <w:b/>
          <w:bCs/>
          <w:sz w:val="32"/>
          <w:szCs w:val="32"/>
        </w:rPr>
      </w:pPr>
    </w:p>
    <w:p w:rsidR="006E3BD8" w:rsidRPr="006E3BD8" w:rsidRDefault="006E3BD8" w:rsidP="006E3BD8">
      <w:pPr>
        <w:spacing w:after="0" w:line="240" w:lineRule="auto"/>
        <w:jc w:val="lowKashida"/>
        <w:rPr>
          <w:rFonts w:ascii="Times New Roman" w:eastAsia="Times New Roman" w:hAnsi="Times New Roman" w:cs="Simplified Arabic"/>
          <w:b/>
          <w:bCs/>
          <w:sz w:val="28"/>
          <w:szCs w:val="28"/>
        </w:rPr>
      </w:pPr>
      <w:r w:rsidRPr="006E3BD8">
        <w:rPr>
          <w:rFonts w:ascii="Simplified Arabic" w:eastAsia="Times New Roman" w:hAnsi="Simplified Arabic" w:cs="Simplified Arabic"/>
          <w:b/>
          <w:bCs/>
          <w:sz w:val="32"/>
          <w:szCs w:val="32"/>
          <w:rtl/>
        </w:rPr>
        <w:t xml:space="preserve">(1) </w:t>
      </w:r>
      <w:r w:rsidRPr="006E3BD8">
        <w:rPr>
          <w:rFonts w:ascii="Simplified Arabic" w:eastAsia="Times New Roman" w:hAnsi="Simplified Arabic" w:cs="Simplified Arabic"/>
          <w:b/>
          <w:bCs/>
          <w:sz w:val="28"/>
          <w:szCs w:val="24"/>
          <w:rtl/>
        </w:rPr>
        <w:t xml:space="preserve">   </w:t>
      </w:r>
      <w:r w:rsidRPr="006E3BD8">
        <w:rPr>
          <w:rFonts w:ascii="Simplified Arabic" w:eastAsia="Times New Roman" w:hAnsi="Simplified Arabic" w:cs="Simplified Arabic"/>
          <w:b/>
          <w:bCs/>
          <w:sz w:val="28"/>
          <w:szCs w:val="28"/>
          <w:rtl/>
        </w:rPr>
        <w:t xml:space="preserve">خبرة </w:t>
      </w:r>
    </w:p>
    <w:p w:rsidR="006E3BD8" w:rsidRPr="006E3BD8" w:rsidRDefault="006E3BD8" w:rsidP="006E3BD8">
      <w:pPr>
        <w:spacing w:after="0" w:line="240" w:lineRule="auto"/>
        <w:jc w:val="lowKashida"/>
        <w:rPr>
          <w:rFonts w:ascii="Simplified Arabic" w:eastAsia="Times New Roman" w:hAnsi="Simplified Arabic" w:cs="Simplified Arabic"/>
          <w:sz w:val="28"/>
          <w:szCs w:val="28"/>
        </w:rPr>
      </w:pPr>
      <w:r w:rsidRPr="006E3BD8">
        <w:rPr>
          <w:rFonts w:ascii="Times New Roman" w:eastAsia="Times New Roman" w:hAnsi="Times New Roman" w:cs="Simplified Arabic"/>
          <w:sz w:val="28"/>
          <w:szCs w:val="28"/>
        </w:rPr>
        <w:t>-</w:t>
      </w:r>
      <w:r w:rsidRPr="006E3BD8">
        <w:rPr>
          <w:rFonts w:ascii="Simplified Arabic" w:eastAsia="Times New Roman" w:hAnsi="Simplified Arabic" w:cs="Simplified Arabic"/>
          <w:sz w:val="28"/>
          <w:szCs w:val="28"/>
          <w:rtl/>
        </w:rPr>
        <w:t xml:space="preserve"> تكليف الخبير الخصوم بحضور الاجتماع الأول كفايته طوال مباشرة المأمورية ما لم ينقطع العمل </w:t>
      </w:r>
      <w:proofErr w:type="gramStart"/>
      <w:r w:rsidRPr="006E3BD8">
        <w:rPr>
          <w:rFonts w:ascii="Simplified Arabic" w:eastAsia="Times New Roman" w:hAnsi="Simplified Arabic" w:cs="Simplified Arabic"/>
          <w:sz w:val="28"/>
          <w:szCs w:val="28"/>
          <w:rtl/>
        </w:rPr>
        <w:t>فيها .</w:t>
      </w:r>
      <w:proofErr w:type="gramEnd"/>
    </w:p>
    <w:p w:rsidR="006E3BD8" w:rsidRPr="006E3BD8" w:rsidRDefault="006E3BD8" w:rsidP="006E3BD8">
      <w:pPr>
        <w:spacing w:after="0" w:line="240" w:lineRule="auto"/>
        <w:jc w:val="lowKashida"/>
        <w:rPr>
          <w:rFonts w:ascii="Times New Roman" w:eastAsia="Times New Roman" w:hAnsi="Times New Roman" w:cs="Simplified Arabic"/>
          <w:b/>
          <w:bCs/>
          <w:sz w:val="28"/>
          <w:szCs w:val="24"/>
          <w:rtl/>
        </w:rPr>
      </w:pPr>
    </w:p>
    <w:p w:rsidR="006E3BD8" w:rsidRPr="006E3BD8" w:rsidRDefault="006E3BD8" w:rsidP="006E3BD8">
      <w:pPr>
        <w:spacing w:after="0" w:line="240" w:lineRule="auto"/>
        <w:jc w:val="lowKashida"/>
        <w:rPr>
          <w:rFonts w:ascii="Simplified Arabic" w:eastAsia="Times New Roman" w:hAnsi="Simplified Arabic" w:cs="Simplified Arabic"/>
          <w:b/>
          <w:bCs/>
          <w:sz w:val="28"/>
          <w:szCs w:val="24"/>
        </w:rPr>
      </w:pPr>
      <w:r w:rsidRPr="006E3BD8">
        <w:rPr>
          <w:rFonts w:ascii="Simplified Arabic" w:eastAsia="Times New Roman" w:hAnsi="Simplified Arabic" w:cs="Simplified Arabic"/>
          <w:b/>
          <w:bCs/>
          <w:sz w:val="32"/>
          <w:szCs w:val="32"/>
          <w:rtl/>
        </w:rPr>
        <w:t xml:space="preserve">(2) </w:t>
      </w:r>
      <w:r w:rsidRPr="006E3BD8">
        <w:rPr>
          <w:rFonts w:ascii="Simplified Arabic" w:eastAsia="Times New Roman" w:hAnsi="Simplified Arabic" w:cs="Simplified Arabic"/>
          <w:b/>
          <w:bCs/>
          <w:sz w:val="28"/>
          <w:szCs w:val="24"/>
          <w:rtl/>
        </w:rPr>
        <w:t xml:space="preserve">    </w:t>
      </w:r>
      <w:r w:rsidRPr="006E3BD8">
        <w:rPr>
          <w:rFonts w:ascii="Simplified Arabic" w:eastAsia="Times New Roman" w:hAnsi="Simplified Arabic" w:cs="Simplified Arabic"/>
          <w:b/>
          <w:bCs/>
          <w:sz w:val="28"/>
          <w:szCs w:val="28"/>
          <w:rtl/>
        </w:rPr>
        <w:t>إستيلاء</w:t>
      </w:r>
    </w:p>
    <w:p w:rsidR="006E3BD8" w:rsidRPr="006E3BD8" w:rsidRDefault="006E3BD8" w:rsidP="006E3BD8">
      <w:pPr>
        <w:spacing w:after="0" w:line="240" w:lineRule="auto"/>
        <w:jc w:val="lowKashida"/>
        <w:rPr>
          <w:rFonts w:ascii="Times New Roman" w:eastAsia="Times New Roman" w:hAnsi="Times New Roman" w:cs="Simplified Arabic"/>
          <w:sz w:val="28"/>
          <w:szCs w:val="28"/>
          <w:rtl/>
        </w:rPr>
      </w:pPr>
      <w:r w:rsidRPr="006E3BD8">
        <w:rPr>
          <w:rFonts w:ascii="Times New Roman" w:eastAsia="Times New Roman" w:hAnsi="Times New Roman" w:cs="Simplified Arabic"/>
          <w:sz w:val="28"/>
          <w:szCs w:val="28"/>
        </w:rPr>
        <w:t>-</w:t>
      </w:r>
      <w:r w:rsidRPr="006E3BD8">
        <w:rPr>
          <w:rFonts w:ascii="Simplified Arabic" w:eastAsia="Times New Roman" w:hAnsi="Simplified Arabic" w:cs="Simplified Arabic"/>
          <w:sz w:val="28"/>
          <w:szCs w:val="28"/>
          <w:rtl/>
        </w:rPr>
        <w:t xml:space="preserve"> القرار الصادر بإعتماد خطوط التنظيم لا ينقل ملكية أجزاء المباني الخارجة عنها إلى الدولة إستيلاء الإدارة عليها وهدمها غير جائز إذا كانت قد أقيمت قبل صدور </w:t>
      </w:r>
      <w:proofErr w:type="gramStart"/>
      <w:r w:rsidRPr="006E3BD8">
        <w:rPr>
          <w:rFonts w:ascii="Simplified Arabic" w:eastAsia="Times New Roman" w:hAnsi="Simplified Arabic" w:cs="Simplified Arabic"/>
          <w:sz w:val="28"/>
          <w:szCs w:val="28"/>
          <w:rtl/>
        </w:rPr>
        <w:t>القرار .</w:t>
      </w:r>
      <w:proofErr w:type="gramEnd"/>
      <w:r w:rsidRPr="006E3BD8">
        <w:rPr>
          <w:rFonts w:ascii="Simplified Arabic" w:eastAsia="Times New Roman" w:hAnsi="Simplified Arabic" w:cs="Simplified Arabic"/>
          <w:sz w:val="28"/>
          <w:szCs w:val="28"/>
          <w:rtl/>
        </w:rPr>
        <w:t xml:space="preserve"> للمالك حق المطالبة بالتعويض عنها .</w:t>
      </w:r>
    </w:p>
    <w:p w:rsidR="006E3BD8" w:rsidRPr="006E3BD8" w:rsidRDefault="006E3BD8" w:rsidP="006E3BD8">
      <w:pPr>
        <w:spacing w:after="0" w:line="240" w:lineRule="auto"/>
        <w:jc w:val="lowKashida"/>
        <w:rPr>
          <w:rFonts w:ascii="Simplified Arabic" w:eastAsia="Times New Roman" w:hAnsi="Simplified Arabic" w:cs="Simplified Arabic"/>
          <w:b/>
          <w:bCs/>
          <w:sz w:val="28"/>
          <w:szCs w:val="24"/>
        </w:rPr>
      </w:pPr>
    </w:p>
    <w:p w:rsidR="006E3BD8" w:rsidRPr="006E3BD8" w:rsidRDefault="006E3BD8" w:rsidP="006E3BD8">
      <w:pPr>
        <w:spacing w:after="0" w:line="240" w:lineRule="auto"/>
        <w:jc w:val="lowKashida"/>
        <w:rPr>
          <w:rFonts w:ascii="Simplified Arabic" w:eastAsia="Times New Roman" w:hAnsi="Simplified Arabic" w:cs="Simplified Arabic"/>
          <w:b/>
          <w:bCs/>
          <w:sz w:val="28"/>
          <w:szCs w:val="24"/>
          <w:rtl/>
        </w:rPr>
      </w:pPr>
    </w:p>
    <w:p w:rsidR="006E3BD8" w:rsidRPr="006E3BD8" w:rsidRDefault="006E3BD8" w:rsidP="006E3BD8">
      <w:pPr>
        <w:spacing w:after="0" w:line="240" w:lineRule="auto"/>
        <w:jc w:val="center"/>
        <w:rPr>
          <w:rFonts w:ascii="Times New Roman" w:eastAsia="Times New Roman" w:hAnsi="Times New Roman" w:cs="PT Bold Heading"/>
          <w:b/>
          <w:bCs/>
          <w:color w:val="008000"/>
          <w:sz w:val="32"/>
          <w:szCs w:val="32"/>
          <w:rtl/>
          <w:lang w:eastAsia="ar-SA"/>
        </w:rPr>
      </w:pPr>
      <w:r w:rsidRPr="006E3BD8">
        <w:rPr>
          <w:rFonts w:ascii="Times New Roman" w:eastAsia="Times New Roman" w:hAnsi="Times New Roman" w:cs="PT Bold Heading" w:hint="cs"/>
          <w:b/>
          <w:bCs/>
          <w:color w:val="008000"/>
          <w:sz w:val="32"/>
          <w:szCs w:val="32"/>
          <w:rtl/>
          <w:lang w:eastAsia="ar-SA"/>
        </w:rPr>
        <w:t>القاعدة</w:t>
      </w:r>
    </w:p>
    <w:p w:rsidR="006E3BD8" w:rsidRPr="006E3BD8" w:rsidRDefault="006E3BD8" w:rsidP="006E3BD8">
      <w:pPr>
        <w:spacing w:after="0" w:line="240" w:lineRule="auto"/>
        <w:jc w:val="lowKashida"/>
        <w:rPr>
          <w:rFonts w:ascii="Times New Roman" w:eastAsia="Times New Roman" w:hAnsi="Times New Roman" w:cs="Simplified Arabic" w:hint="cs"/>
          <w:sz w:val="28"/>
          <w:szCs w:val="28"/>
          <w:rtl/>
        </w:rPr>
      </w:pPr>
      <w:r w:rsidRPr="006E3BD8">
        <w:rPr>
          <w:rFonts w:ascii="Simplified Arabic" w:eastAsia="Times New Roman" w:hAnsi="Simplified Arabic" w:cs="Simplified Arabic"/>
          <w:sz w:val="28"/>
          <w:szCs w:val="28"/>
          <w:rtl/>
        </w:rPr>
        <w:t>1- المستفاد مما نصت عليه المادتان 146 ، 147 من قانون الإثبات - و على ما جرى به قضاء هذه المحكمة -ـ أن تكليف الخبير الخصوم بحضور الإجتماع الأول يكفى طوال مدة المأمورية ما دام العمل مستمراً لم ينقطع و عليهم هم أن يتتبعوا سير العمل و فى هذه الحالة يكون للخبير أن يباشر عمله فى غيبتهم .</w:t>
      </w:r>
    </w:p>
    <w:p w:rsidR="006E3BD8" w:rsidRPr="006E3BD8" w:rsidRDefault="006E3BD8" w:rsidP="006E3BD8">
      <w:pPr>
        <w:spacing w:after="0" w:line="240" w:lineRule="auto"/>
        <w:jc w:val="lowKashida"/>
        <w:rPr>
          <w:rFonts w:ascii="Times New Roman" w:eastAsia="Times New Roman" w:hAnsi="Times New Roman" w:cs="Simplified Arabic"/>
          <w:sz w:val="28"/>
          <w:szCs w:val="28"/>
        </w:rPr>
      </w:pPr>
    </w:p>
    <w:p w:rsidR="006E3BD8" w:rsidRPr="006E3BD8" w:rsidRDefault="006E3BD8" w:rsidP="006E3BD8">
      <w:pPr>
        <w:spacing w:after="0" w:line="240" w:lineRule="auto"/>
        <w:jc w:val="lowKashida"/>
        <w:rPr>
          <w:rFonts w:ascii="Times New Roman" w:eastAsia="Times New Roman" w:hAnsi="Times New Roman" w:cs="Simplified Arabic"/>
          <w:sz w:val="28"/>
          <w:szCs w:val="28"/>
        </w:rPr>
      </w:pPr>
      <w:r w:rsidRPr="006E3BD8">
        <w:rPr>
          <w:rFonts w:ascii="Simplified Arabic" w:eastAsia="Times New Roman" w:hAnsi="Simplified Arabic" w:cs="Simplified Arabic"/>
          <w:sz w:val="28"/>
          <w:szCs w:val="28"/>
          <w:rtl/>
        </w:rPr>
        <w:t>2- وضعت المادة 12 من القانون رقم 45 لسنة 1962 قيوداً على حق مالك الأجزاء البارزة عن خط التنظيم تمنعه من إجراء أعمال البناء أو التعلية فيها بعد صدور القرار بإعتماد خط التنظيم إلا أنها لم ترتب على صدور هذا القرار إنتقال ملكية تلك الأجزاء بما عليها من مبان إلى الدولة و لم تخول المحافظة سلطة الإستيلاء على العقارات القائمة على الأجزاء البارزة و هدمها و الإستيلاء على أنقاضها ، طالما أن مبانى تلك العقارات مقامة من تاريخ سابق على صدور قرار إعتماد خطوط التنظيم و إذ كان الطاعن قد أقر صراحة بصحيفتى الإستئنافين و مذكرة دفاعه إلى محكمة الدرجة الثانية بأن القرار لم ينفذ بل أقيمت ساحة شعبية للشباب على أرض النزاع بعد أن هدم هو ما كان عليها من مبان فإن إستيلاءه على تلك الأرض جبراً من المطعون عليهم دون إتباع الإجراءات التى يوجبها قانون نزع الملكية يعتبر بمثابة غصب و ليس من شأنه أن ينقل بذاته ملكيتها إلى الطاعن بل تظل هذه الملكية لأصحابها رغم هذا الإستيلاء و يكون لهم الحق فى المطالبة بتعويض الأضرار الناشئة عنه .</w:t>
      </w:r>
    </w:p>
    <w:p w:rsidR="006E3BD8" w:rsidRPr="006E3BD8" w:rsidRDefault="006E3BD8" w:rsidP="006E3BD8">
      <w:pPr>
        <w:spacing w:after="0" w:line="240" w:lineRule="auto"/>
        <w:jc w:val="lowKashida"/>
        <w:rPr>
          <w:rFonts w:ascii="Times New Roman" w:eastAsia="Times New Roman" w:hAnsi="Times New Roman" w:cs="Simplified Arabic"/>
          <w:sz w:val="28"/>
          <w:szCs w:val="28"/>
        </w:rPr>
      </w:pPr>
    </w:p>
    <w:p w:rsidR="006E3BD8" w:rsidRPr="006E3BD8" w:rsidRDefault="006E3BD8" w:rsidP="006E3BD8">
      <w:pPr>
        <w:spacing w:after="0" w:line="240" w:lineRule="auto"/>
        <w:jc w:val="center"/>
        <w:rPr>
          <w:rFonts w:ascii="Times New Roman" w:eastAsia="Times New Roman" w:hAnsi="Times New Roman" w:cs="Simplified Arabic"/>
          <w:sz w:val="24"/>
          <w:szCs w:val="24"/>
        </w:rPr>
      </w:pPr>
      <w:r w:rsidRPr="006E3BD8">
        <w:rPr>
          <w:rFonts w:ascii="Simplified Arabic" w:eastAsia="Times New Roman" w:hAnsi="Simplified Arabic" w:cs="Simplified Arabic"/>
          <w:sz w:val="24"/>
          <w:szCs w:val="24"/>
          <w:rtl/>
        </w:rPr>
        <w:t>" سنة المكتب الفنى "  30 " رقم الصفحة - 110  -  قاعدة رقم –   -  "</w:t>
      </w:r>
    </w:p>
    <w:p w:rsidR="006E3BD8" w:rsidRPr="006E3BD8" w:rsidRDefault="006E3BD8" w:rsidP="006E3BD8">
      <w:pPr>
        <w:spacing w:after="0" w:line="240" w:lineRule="auto"/>
        <w:rPr>
          <w:rFonts w:ascii="Times New Roman" w:eastAsia="Times New Roman" w:hAnsi="Times New Roman" w:cs="Times New Roman"/>
          <w:sz w:val="24"/>
          <w:szCs w:val="24"/>
        </w:rPr>
      </w:pPr>
    </w:p>
    <w:p w:rsidR="003E5EDE" w:rsidRPr="006E3BD8" w:rsidRDefault="003E5EDE">
      <w:bookmarkStart w:id="0" w:name="_GoBack"/>
      <w:bookmarkEnd w:id="0"/>
    </w:p>
    <w:sectPr w:rsidR="003E5EDE" w:rsidRPr="006E3BD8"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843"/>
    <w:rsid w:val="0003272B"/>
    <w:rsid w:val="003E5EDE"/>
    <w:rsid w:val="006E3BD8"/>
    <w:rsid w:val="00B348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17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247</Words>
  <Characters>1413</Characters>
  <Application>Microsoft Office Word</Application>
  <DocSecurity>0</DocSecurity>
  <Lines>11</Lines>
  <Paragraphs>3</Paragraphs>
  <ScaleCrop>false</ScaleCrop>
  <Company/>
  <LinksUpToDate>false</LinksUpToDate>
  <CharactersWithSpaces>1657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2020-06-03T13:15:00Z</dcterms:created>
  <dcterms:modified xsi:type="dcterms:W3CDTF">2020-06-03T13:15:00Z</dcterms:modified>
</cp:coreProperties>
</file>